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F8D27" w14:textId="77777777" w:rsidR="00E335F1" w:rsidRPr="00DA6F5B" w:rsidRDefault="00E335F1" w:rsidP="00E335F1">
      <w:pPr>
        <w:pStyle w:val="Naslov3"/>
        <w:spacing w:after="240"/>
        <w:rPr>
          <w:rFonts w:ascii="Times New Roman" w:hAnsi="Times New Roman" w:cs="Times New Roman"/>
          <w:noProof/>
          <w:color w:val="auto"/>
          <w:sz w:val="24"/>
          <w:szCs w:val="24"/>
          <w:lang w:val="sl-SI"/>
        </w:rPr>
      </w:pPr>
      <w:bookmarkStart w:id="0" w:name="_GoBack"/>
      <w:bookmarkEnd w:id="0"/>
      <w:r w:rsidRPr="00DA6F5B">
        <w:rPr>
          <w:rFonts w:ascii="Times New Roman" w:hAnsi="Times New Roman" w:cs="Times New Roman"/>
          <w:noProof/>
          <w:color w:val="auto"/>
          <w:sz w:val="24"/>
          <w:szCs w:val="24"/>
          <w:lang w:val="sl-SI"/>
        </w:rPr>
        <w:t>Učinkovito oblikovanje programov in kurikulumov</w:t>
      </w:r>
    </w:p>
    <w:p w14:paraId="6776DBDF" w14:textId="18F9F4C8" w:rsidR="00E335F1" w:rsidRPr="00DA6F5B" w:rsidRDefault="00E335F1" w:rsidP="00E335F1">
      <w:pPr>
        <w:pStyle w:val="Odstavekseznama"/>
        <w:keepNext/>
        <w:numPr>
          <w:ilvl w:val="0"/>
          <w:numId w:val="2"/>
        </w:numPr>
        <w:pBdr>
          <w:top w:val="nil"/>
          <w:left w:val="nil"/>
          <w:bottom w:val="nil"/>
          <w:right w:val="nil"/>
          <w:between w:val="nil"/>
          <w:bar w:val="nil"/>
        </w:pBdr>
        <w:ind w:left="0" w:firstLine="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rPr>
        <w:t>V zadnjih desetletjih smo videli premik v visokem šolstvu v smeri oblikovanja programov in kurikulumov v pomoč študentom, da pridobijo predhodno opredeljene rezultate učenja. Ta premik v smeri večjega učenja, osredotočenega v študenta in pa večjo skrb za zaposljivost diplomantov, kot tudi za širšo učno izkušnjo, kar je sprožilo spremembo v načinu oblikovanja kurikulumov in pedagoških pristopov</w:t>
      </w:r>
      <w:r w:rsidRPr="00DA6F5B">
        <w:rPr>
          <w:rStyle w:val="Sprotnaopomba-sklic"/>
          <w:rFonts w:ascii="Times New Roman" w:hAnsi="Times New Roman" w:cs="Times New Roman"/>
          <w:noProof/>
          <w:sz w:val="24"/>
          <w:szCs w:val="24"/>
          <w:lang w:val="sl-SI"/>
        </w:rPr>
        <w:footnoteReference w:id="1"/>
      </w:r>
      <w:r w:rsidRPr="00DA6F5B">
        <w:rPr>
          <w:rFonts w:ascii="Times New Roman" w:hAnsi="Times New Roman" w:cs="Times New Roman"/>
          <w:noProof/>
          <w:sz w:val="24"/>
          <w:szCs w:val="24"/>
          <w:lang w:val="sl-SI"/>
        </w:rPr>
        <w:t>. Bolonjske reforme, ki so bile uveljavljene od leta 1999 naprej</w:t>
      </w:r>
      <w:r w:rsidRPr="00DA6F5B">
        <w:rPr>
          <w:rStyle w:val="Sprotnaopomba-sklic"/>
          <w:rFonts w:ascii="Times New Roman" w:hAnsi="Times New Roman" w:cs="Times New Roman"/>
          <w:noProof/>
          <w:sz w:val="24"/>
          <w:szCs w:val="24"/>
          <w:lang w:val="sl-SI"/>
        </w:rPr>
        <w:footnoteReference w:id="2"/>
      </w:r>
      <w:r w:rsidRPr="00DA6F5B">
        <w:rPr>
          <w:rFonts w:ascii="Times New Roman" w:hAnsi="Times New Roman" w:cs="Times New Roman"/>
          <w:noProof/>
          <w:sz w:val="24"/>
          <w:szCs w:val="24"/>
          <w:lang w:val="sl-SI"/>
        </w:rPr>
        <w:t>, so prav tako postal</w:t>
      </w:r>
      <w:r w:rsidR="00BF1630" w:rsidRPr="00DA6F5B">
        <w:rPr>
          <w:rFonts w:ascii="Times New Roman" w:hAnsi="Times New Roman" w:cs="Times New Roman"/>
          <w:noProof/>
          <w:sz w:val="24"/>
          <w:szCs w:val="24"/>
          <w:lang w:val="sl-SI"/>
        </w:rPr>
        <w:t>e</w:t>
      </w:r>
      <w:r w:rsidRPr="00DA6F5B">
        <w:rPr>
          <w:rFonts w:ascii="Times New Roman" w:hAnsi="Times New Roman" w:cs="Times New Roman"/>
          <w:noProof/>
          <w:sz w:val="24"/>
          <w:szCs w:val="24"/>
          <w:lang w:val="sl-SI"/>
        </w:rPr>
        <w:t xml:space="preserve"> orodje večje pozornosti za pridobitev prenosljivih ali “mehkih”, “generičnih” veščin ali veščin "21. stoletja", poleg spretnosti, specifični</w:t>
      </w:r>
      <w:r w:rsidR="00BF1630" w:rsidRPr="00DA6F5B">
        <w:rPr>
          <w:rFonts w:ascii="Times New Roman" w:hAnsi="Times New Roman" w:cs="Times New Roman"/>
          <w:noProof/>
          <w:sz w:val="24"/>
          <w:szCs w:val="24"/>
          <w:lang w:val="sl-SI"/>
        </w:rPr>
        <w:t>h</w:t>
      </w:r>
      <w:r w:rsidRPr="00DA6F5B">
        <w:rPr>
          <w:rFonts w:ascii="Times New Roman" w:hAnsi="Times New Roman" w:cs="Times New Roman"/>
          <w:noProof/>
          <w:sz w:val="24"/>
          <w:szCs w:val="24"/>
          <w:lang w:val="sl-SI"/>
        </w:rPr>
        <w:t xml:space="preserve"> za posamezno predmetno področje v celotnem Evropskem visokošolskem izobraževanju. Akademsko osebje in institucije se vedno bolj osredotočajo na oblikovanje učenja s podrobnim upoštevanjem pedagoških tehnik, ki najbolj ustrezajo poučevanju posebnega predmeta in doseganju zaželenih rezultatov učenja. </w:t>
      </w:r>
    </w:p>
    <w:p w14:paraId="55DDD785" w14:textId="3F6641F7" w:rsidR="00E335F1" w:rsidRPr="00DA6F5B" w:rsidRDefault="00E335F1" w:rsidP="00E335F1">
      <w:pPr>
        <w:pStyle w:val="Odstavekseznama"/>
        <w:keepNext/>
        <w:numPr>
          <w:ilvl w:val="0"/>
          <w:numId w:val="2"/>
        </w:numPr>
        <w:pBdr>
          <w:top w:val="nil"/>
          <w:left w:val="nil"/>
          <w:bottom w:val="nil"/>
          <w:right w:val="nil"/>
          <w:between w:val="nil"/>
          <w:bar w:val="nil"/>
        </w:pBdr>
        <w:ind w:left="0" w:firstLine="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rPr>
        <w:t>Na univerzah je bilo povečano osredotočenje na problemsko učenje in učenje na podlagi zahtev, kjer študneti uporabljajo znanje za razvoj odgovorov na specifične (pogosto realne) probleme. Hkrati, skozi mešano učenje</w:t>
      </w:r>
      <w:r w:rsidRPr="00DA6F5B">
        <w:rPr>
          <w:rStyle w:val="Sprotnaopomba-sklic"/>
          <w:rFonts w:ascii="Times New Roman" w:hAnsi="Times New Roman" w:cs="Times New Roman"/>
          <w:noProof/>
          <w:sz w:val="24"/>
          <w:szCs w:val="24"/>
          <w:lang w:val="sl-SI"/>
        </w:rPr>
        <w:footnoteReference w:id="3"/>
      </w:r>
      <w:r w:rsidRPr="00DA6F5B">
        <w:rPr>
          <w:rFonts w:ascii="Times New Roman" w:hAnsi="Times New Roman" w:cs="Times New Roman"/>
          <w:noProof/>
          <w:sz w:val="24"/>
          <w:szCs w:val="24"/>
          <w:lang w:val="sl-SI"/>
        </w:rPr>
        <w:t xml:space="preserve"> in pristope ‘preobrnejne učilnice’</w:t>
      </w:r>
      <w:r w:rsidRPr="00DA6F5B">
        <w:rPr>
          <w:rStyle w:val="Sprotnaopomba-sklic"/>
          <w:rFonts w:ascii="Times New Roman" w:hAnsi="Times New Roman" w:cs="Times New Roman"/>
          <w:noProof/>
          <w:sz w:val="24"/>
          <w:szCs w:val="24"/>
          <w:lang w:val="sl-SI"/>
        </w:rPr>
        <w:footnoteReference w:id="4"/>
      </w:r>
      <w:r w:rsidRPr="00DA6F5B">
        <w:rPr>
          <w:rFonts w:ascii="Times New Roman" w:hAnsi="Times New Roman" w:cs="Times New Roman"/>
          <w:noProof/>
          <w:sz w:val="24"/>
          <w:szCs w:val="24"/>
          <w:lang w:val="sl-SI"/>
        </w:rPr>
        <w:t>, se vedno bolj uporabi tehnologije, ki dovoljujejo opravljanje laboratorijskega in učilniškega časa za interaktivne aktivnosti, reševanje problemov in razpravo, namesto pridobivanja znanja. V raziskavi iz leta 2015 v Franciji, Nemčiji, Poljski, Španiji in ZK, je 72.1</w:t>
      </w:r>
      <w:r w:rsidR="00543E5B" w:rsidRPr="00DA6F5B">
        <w:rPr>
          <w:rFonts w:ascii="Times New Roman" w:hAnsi="Times New Roman" w:cs="Times New Roman"/>
          <w:noProof/>
          <w:sz w:val="24"/>
          <w:szCs w:val="24"/>
          <w:lang w:val="sl-SI"/>
        </w:rPr>
        <w:t xml:space="preserve"> </w:t>
      </w:r>
      <w:r w:rsidRPr="00DA6F5B">
        <w:rPr>
          <w:rFonts w:ascii="Times New Roman" w:hAnsi="Times New Roman" w:cs="Times New Roman"/>
          <w:noProof/>
          <w:sz w:val="24"/>
          <w:szCs w:val="24"/>
          <w:lang w:val="sl-SI"/>
        </w:rPr>
        <w:t>% univerz izjavilo, da uporablja mešano učenje na dodiplomski, magistrski ali doktorski ravni, 43.4</w:t>
      </w:r>
      <w:r w:rsidR="00543E5B" w:rsidRPr="00DA6F5B">
        <w:rPr>
          <w:rFonts w:ascii="Times New Roman" w:hAnsi="Times New Roman" w:cs="Times New Roman"/>
          <w:noProof/>
          <w:sz w:val="24"/>
          <w:szCs w:val="24"/>
          <w:lang w:val="sl-SI"/>
        </w:rPr>
        <w:t xml:space="preserve"> </w:t>
      </w:r>
      <w:r w:rsidRPr="00DA6F5B">
        <w:rPr>
          <w:rFonts w:ascii="Times New Roman" w:hAnsi="Times New Roman" w:cs="Times New Roman"/>
          <w:noProof/>
          <w:sz w:val="24"/>
          <w:szCs w:val="24"/>
          <w:lang w:val="sl-SI"/>
        </w:rPr>
        <w:t>% pa je izjavilo, da uporabljajo preobrn</w:t>
      </w:r>
      <w:r w:rsidR="00543E5B" w:rsidRPr="00DA6F5B">
        <w:rPr>
          <w:rFonts w:ascii="Times New Roman" w:hAnsi="Times New Roman" w:cs="Times New Roman"/>
          <w:noProof/>
          <w:sz w:val="24"/>
          <w:szCs w:val="24"/>
          <w:lang w:val="sl-SI"/>
        </w:rPr>
        <w:t>j</w:t>
      </w:r>
      <w:r w:rsidRPr="00DA6F5B">
        <w:rPr>
          <w:rFonts w:ascii="Times New Roman" w:hAnsi="Times New Roman" w:cs="Times New Roman"/>
          <w:noProof/>
          <w:sz w:val="24"/>
          <w:szCs w:val="24"/>
          <w:lang w:val="sl-SI"/>
        </w:rPr>
        <w:t>eno učilnico</w:t>
      </w:r>
      <w:r w:rsidRPr="00DA6F5B">
        <w:rPr>
          <w:rStyle w:val="Sprotnaopomba-sklic"/>
          <w:rFonts w:ascii="Times New Roman" w:hAnsi="Times New Roman" w:cs="Times New Roman"/>
          <w:noProof/>
          <w:sz w:val="24"/>
          <w:szCs w:val="24"/>
          <w:lang w:val="sl-SI"/>
        </w:rPr>
        <w:footnoteReference w:id="5"/>
      </w:r>
      <w:r w:rsidRPr="00DA6F5B">
        <w:rPr>
          <w:rFonts w:ascii="Times New Roman" w:hAnsi="Times New Roman" w:cs="Times New Roman"/>
          <w:noProof/>
          <w:sz w:val="24"/>
          <w:szCs w:val="24"/>
          <w:lang w:val="sl-SI"/>
        </w:rPr>
        <w:t>. Več interdisciplinarnih pro</w:t>
      </w:r>
      <w:r w:rsidR="00DA6F5B" w:rsidRPr="00DA6F5B">
        <w:rPr>
          <w:rFonts w:ascii="Times New Roman" w:hAnsi="Times New Roman" w:cs="Times New Roman"/>
          <w:noProof/>
          <w:sz w:val="24"/>
          <w:szCs w:val="24"/>
          <w:lang w:val="sl-SI"/>
        </w:rPr>
        <w:t>gr</w:t>
      </w:r>
      <w:r w:rsidRPr="00DA6F5B">
        <w:rPr>
          <w:rFonts w:ascii="Times New Roman" w:hAnsi="Times New Roman" w:cs="Times New Roman"/>
          <w:noProof/>
          <w:sz w:val="24"/>
          <w:szCs w:val="24"/>
          <w:lang w:val="sl-SI"/>
        </w:rPr>
        <w:t>amov in možnosti izbire za kombinacije interdisciplinarnega študija, vključno s tistimi, ki povezujejo umetnosti in znanosti (STEAM - Science, Technology, Engineering, Arts and Maths), so uvajali na mnogih univerzah. Prav tako so pristopi, posebe</w:t>
      </w:r>
      <w:r w:rsidR="00CA22C7" w:rsidRPr="00DA6F5B">
        <w:rPr>
          <w:rFonts w:ascii="Times New Roman" w:hAnsi="Times New Roman" w:cs="Times New Roman"/>
          <w:noProof/>
          <w:sz w:val="24"/>
          <w:szCs w:val="24"/>
          <w:lang w:val="sl-SI"/>
        </w:rPr>
        <w:t>j</w:t>
      </w:r>
      <w:r w:rsidRPr="00DA6F5B">
        <w:rPr>
          <w:rFonts w:ascii="Times New Roman" w:hAnsi="Times New Roman" w:cs="Times New Roman"/>
          <w:noProof/>
          <w:sz w:val="24"/>
          <w:szCs w:val="24"/>
          <w:lang w:val="sl-SI"/>
        </w:rPr>
        <w:t xml:space="preserve"> na raziskovalno močnih univerzah, ki iščejo vključevanje dodiplomskih študentov bolj v raziskave na instituciji, kjer študirajo z vidika izboljšanja raziskovanja in razvijanja interesa študnetov za raziskovalne spretnosti</w:t>
      </w:r>
      <w:r w:rsidRPr="00DA6F5B">
        <w:rPr>
          <w:rStyle w:val="Sprotnaopomba-sklic"/>
          <w:rFonts w:ascii="Times New Roman" w:hAnsi="Times New Roman" w:cs="Times New Roman"/>
          <w:noProof/>
          <w:sz w:val="24"/>
          <w:szCs w:val="24"/>
          <w:lang w:val="sl-SI"/>
        </w:rPr>
        <w:footnoteReference w:id="6"/>
      </w:r>
      <w:r w:rsidRPr="00DA6F5B">
        <w:rPr>
          <w:rFonts w:ascii="Times New Roman" w:hAnsi="Times New Roman" w:cs="Times New Roman"/>
          <w:noProof/>
          <w:sz w:val="24"/>
          <w:szCs w:val="24"/>
          <w:lang w:val="sl-SI"/>
        </w:rPr>
        <w:t xml:space="preserve">. </w:t>
      </w:r>
    </w:p>
    <w:p w14:paraId="3AA1FD88" w14:textId="4A12D491" w:rsidR="00E335F1" w:rsidRPr="00DA6F5B" w:rsidRDefault="00E335F1" w:rsidP="00E335F1">
      <w:pPr>
        <w:pStyle w:val="Odstavekseznama"/>
        <w:keepNext/>
        <w:numPr>
          <w:ilvl w:val="0"/>
          <w:numId w:val="2"/>
        </w:numPr>
        <w:pBdr>
          <w:top w:val="nil"/>
          <w:left w:val="nil"/>
          <w:bottom w:val="nil"/>
          <w:right w:val="nil"/>
          <w:between w:val="nil"/>
          <w:bar w:val="nil"/>
        </w:pBdr>
        <w:ind w:left="0" w:firstLine="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rPr>
        <w:t xml:space="preserve">Poleg gibanja za spremembo strukturiranosti učenja znotraj ozidja visokošolskih institutcij tečejo razprave o najboljšem načinu za vključevanje 'zunanjih izkušenj' – posebej </w:t>
      </w:r>
      <w:r w:rsidRPr="00DA6F5B">
        <w:rPr>
          <w:rFonts w:ascii="Times New Roman" w:hAnsi="Times New Roman" w:cs="Times New Roman"/>
          <w:noProof/>
          <w:sz w:val="24"/>
          <w:szCs w:val="24"/>
          <w:lang w:val="sl-SI"/>
        </w:rPr>
        <w:lastRenderedPageBreak/>
        <w:t xml:space="preserve">učenje z delom in mednarodne mobilnosti – v programe za obogatitev razvoja spretnosti študentov. </w:t>
      </w:r>
    </w:p>
    <w:p w14:paraId="738819AD" w14:textId="6B747AFE" w:rsidR="00E335F1" w:rsidRPr="00DA6F5B" w:rsidRDefault="00DA6F5B" w:rsidP="00E335F1">
      <w:pPr>
        <w:pStyle w:val="Odstavekseznama"/>
        <w:keepNext/>
        <w:numPr>
          <w:ilvl w:val="0"/>
          <w:numId w:val="2"/>
        </w:numPr>
        <w:pBdr>
          <w:top w:val="nil"/>
          <w:left w:val="nil"/>
          <w:bottom w:val="nil"/>
          <w:right w:val="nil"/>
          <w:between w:val="nil"/>
          <w:bar w:val="nil"/>
        </w:pBdr>
        <w:ind w:left="0" w:firstLine="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eastAsia="sl-SI"/>
        </w:rPr>
        <mc:AlternateContent>
          <mc:Choice Requires="wps">
            <w:drawing>
              <wp:anchor distT="0" distB="0" distL="114300" distR="114300" simplePos="0" relativeHeight="251659264" behindDoc="0" locked="0" layoutInCell="1" allowOverlap="1" wp14:anchorId="277184D8" wp14:editId="7C122B62">
                <wp:simplePos x="0" y="0"/>
                <wp:positionH relativeFrom="column">
                  <wp:posOffset>-111760</wp:posOffset>
                </wp:positionH>
                <wp:positionV relativeFrom="paragraph">
                  <wp:posOffset>996315</wp:posOffset>
                </wp:positionV>
                <wp:extent cx="5728970" cy="1403985"/>
                <wp:effectExtent l="0" t="0" r="2413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3985"/>
                        </a:xfrm>
                        <a:prstGeom prst="rect">
                          <a:avLst/>
                        </a:prstGeom>
                        <a:solidFill>
                          <a:schemeClr val="tx2">
                            <a:lumMod val="20000"/>
                            <a:lumOff val="80000"/>
                          </a:schemeClr>
                        </a:solidFill>
                        <a:ln w="9525">
                          <a:solidFill>
                            <a:srgbClr val="000000"/>
                          </a:solidFill>
                          <a:miter lim="800000"/>
                          <a:headEnd/>
                          <a:tailEnd/>
                        </a:ln>
                      </wps:spPr>
                      <wps:txbx>
                        <w:txbxContent>
                          <w:p w14:paraId="579C5116" w14:textId="77777777" w:rsidR="00E335F1" w:rsidRPr="00DA6F5B" w:rsidRDefault="00E335F1" w:rsidP="00E335F1">
                            <w:pPr>
                              <w:keepNext/>
                              <w:pBdr>
                                <w:top w:val="nil"/>
                                <w:left w:val="nil"/>
                                <w:bottom w:val="nil"/>
                                <w:right w:val="nil"/>
                                <w:between w:val="nil"/>
                                <w:bar w:val="nil"/>
                              </w:pBdr>
                              <w:spacing w:after="0"/>
                              <w:jc w:val="both"/>
                              <w:rPr>
                                <w:rFonts w:cs="Arial"/>
                                <w:b/>
                                <w:lang w:val="sl-SI"/>
                              </w:rPr>
                            </w:pPr>
                            <w:r w:rsidRPr="00DA6F5B">
                              <w:rPr>
                                <w:rFonts w:cs="Arial"/>
                                <w:b/>
                                <w:lang w:val="sl-SI"/>
                              </w:rPr>
                              <w:t>NIZOZEMSKA STRATEŠKA AGENDA ZA VISOKO ŠOLSTVO 2015-25</w:t>
                            </w:r>
                          </w:p>
                          <w:p w14:paraId="22DF9BD3" w14:textId="4F0E0FFD" w:rsidR="00E335F1" w:rsidRPr="00DA6F5B" w:rsidRDefault="00E335F1" w:rsidP="00E335F1">
                            <w:pPr>
                              <w:keepNext/>
                              <w:pBdr>
                                <w:top w:val="nil"/>
                                <w:left w:val="nil"/>
                                <w:bottom w:val="nil"/>
                                <w:right w:val="nil"/>
                                <w:between w:val="nil"/>
                                <w:bar w:val="nil"/>
                              </w:pBdr>
                              <w:spacing w:after="0"/>
                              <w:jc w:val="both"/>
                              <w:rPr>
                                <w:rFonts w:cs="Arial"/>
                                <w:lang w:val="sl-SI"/>
                              </w:rPr>
                            </w:pPr>
                            <w:r w:rsidRPr="00DA6F5B">
                              <w:rPr>
                                <w:rFonts w:cs="Arial"/>
                                <w:lang w:val="sl-SI"/>
                              </w:rPr>
                              <w:t>Nizozemska strateška agenda za visoko</w:t>
                            </w:r>
                            <w:r w:rsidR="00F365B4" w:rsidRPr="00DA6F5B">
                              <w:rPr>
                                <w:rFonts w:cs="Arial"/>
                                <w:lang w:val="sl-SI"/>
                              </w:rPr>
                              <w:t xml:space="preserve"> </w:t>
                            </w:r>
                            <w:r w:rsidRPr="00DA6F5B">
                              <w:rPr>
                                <w:rFonts w:cs="Arial"/>
                                <w:lang w:val="sl-SI"/>
                              </w:rPr>
                              <w:t>šolstvo identificira posebne dejavnike, ki ustvarjajo ugodno okolje za razvoj spretnosti, vključno s kritičnim razmišljanjem, sod</w:t>
                            </w:r>
                            <w:r w:rsidR="00F365B4" w:rsidRPr="00DA6F5B">
                              <w:rPr>
                                <w:rFonts w:cs="Arial"/>
                                <w:lang w:val="sl-SI"/>
                              </w:rPr>
                              <w:t>e</w:t>
                            </w:r>
                            <w:r w:rsidRPr="00DA6F5B">
                              <w:rPr>
                                <w:rFonts w:cs="Arial"/>
                                <w:lang w:val="sl-SI"/>
                              </w:rPr>
                              <w:t>lovanjem, kreativnostjo in usmerjenostjo v rezultate. Posebna področja v ospredju, ki jih bomo podpirali z dodatnim financiranjem v prihodnjih letih, vključujejo:</w:t>
                            </w:r>
                          </w:p>
                          <w:p w14:paraId="7769B787" w14:textId="3C2B3CDB" w:rsidR="00E335F1" w:rsidRPr="00DA6F5B" w:rsidRDefault="00F365B4" w:rsidP="00E335F1">
                            <w:pPr>
                              <w:pStyle w:val="Odstavekseznama"/>
                              <w:keepNext/>
                              <w:numPr>
                                <w:ilvl w:val="0"/>
                                <w:numId w:val="3"/>
                              </w:numPr>
                              <w:pBdr>
                                <w:top w:val="nil"/>
                                <w:left w:val="nil"/>
                                <w:bottom w:val="nil"/>
                                <w:right w:val="nil"/>
                                <w:between w:val="nil"/>
                                <w:bar w:val="nil"/>
                              </w:pBdr>
                              <w:spacing w:after="0"/>
                              <w:jc w:val="both"/>
                              <w:rPr>
                                <w:rFonts w:cs="Arial"/>
                                <w:lang w:val="sl-SI"/>
                              </w:rPr>
                            </w:pPr>
                            <w:r w:rsidRPr="00DA6F5B">
                              <w:rPr>
                                <w:rFonts w:cs="Arial"/>
                                <w:lang w:val="sl-SI"/>
                              </w:rPr>
                              <w:t>M</w:t>
                            </w:r>
                            <w:r w:rsidR="00E335F1" w:rsidRPr="00DA6F5B">
                              <w:rPr>
                                <w:rFonts w:cs="Arial"/>
                                <w:lang w:val="sl-SI"/>
                              </w:rPr>
                              <w:t>ajhne učne skupnosti (interakcija med študentom in učiteljem, individualizirana podpora in povratna informacija)</w:t>
                            </w:r>
                            <w:r w:rsidRPr="00DA6F5B">
                              <w:rPr>
                                <w:rFonts w:cs="Arial"/>
                                <w:lang w:val="sl-SI"/>
                              </w:rPr>
                              <w:t>,</w:t>
                            </w:r>
                          </w:p>
                          <w:p w14:paraId="2DB2B9FE" w14:textId="6CC5A355" w:rsidR="00E335F1" w:rsidRPr="00DA6F5B" w:rsidRDefault="00F365B4" w:rsidP="00E335F1">
                            <w:pPr>
                              <w:pStyle w:val="Odstavekseznama"/>
                              <w:keepNext/>
                              <w:numPr>
                                <w:ilvl w:val="0"/>
                                <w:numId w:val="3"/>
                              </w:numPr>
                              <w:pBdr>
                                <w:top w:val="nil"/>
                                <w:left w:val="nil"/>
                                <w:bottom w:val="nil"/>
                                <w:right w:val="nil"/>
                                <w:between w:val="nil"/>
                                <w:bar w:val="nil"/>
                              </w:pBdr>
                              <w:spacing w:after="0"/>
                              <w:jc w:val="both"/>
                              <w:rPr>
                                <w:rFonts w:cs="Arial"/>
                                <w:lang w:val="sl-SI"/>
                              </w:rPr>
                            </w:pPr>
                            <w:r w:rsidRPr="00DA6F5B">
                              <w:rPr>
                                <w:rFonts w:cs="Arial"/>
                                <w:lang w:val="sl-SI"/>
                              </w:rPr>
                              <w:t>b</w:t>
                            </w:r>
                            <w:r w:rsidR="00E335F1" w:rsidRPr="00DA6F5B">
                              <w:rPr>
                                <w:rFonts w:cs="Arial"/>
                                <w:lang w:val="sl-SI"/>
                              </w:rPr>
                              <w:t>ogata učna okolja, prežeta z raziskovalnimi, strokovnimi praksami, mednarodnimi učilnicami, izobraževanjem online in novimi učnimi okolji</w:t>
                            </w:r>
                            <w:r w:rsidR="0032030B" w:rsidRPr="00DA6F5B">
                              <w:rPr>
                                <w:rFonts w:cs="Arial"/>
                                <w:lang w:val="sl-SI"/>
                              </w:rPr>
                              <w:t>,</w:t>
                            </w:r>
                          </w:p>
                          <w:p w14:paraId="3C961A2B" w14:textId="7517DB48" w:rsidR="00E335F1" w:rsidRPr="00DA6F5B" w:rsidRDefault="00E335F1" w:rsidP="00E335F1">
                            <w:pPr>
                              <w:pStyle w:val="Odstavekseznama"/>
                              <w:keepNext/>
                              <w:numPr>
                                <w:ilvl w:val="0"/>
                                <w:numId w:val="3"/>
                              </w:numPr>
                              <w:pBdr>
                                <w:top w:val="nil"/>
                                <w:left w:val="nil"/>
                                <w:bottom w:val="nil"/>
                                <w:right w:val="nil"/>
                                <w:between w:val="nil"/>
                                <w:bar w:val="nil"/>
                              </w:pBdr>
                              <w:spacing w:after="0"/>
                              <w:jc w:val="both"/>
                              <w:rPr>
                                <w:rFonts w:cs="Arial"/>
                                <w:lang w:val="sl-SI"/>
                              </w:rPr>
                            </w:pPr>
                            <w:r w:rsidRPr="00DA6F5B">
                              <w:rPr>
                                <w:rFonts w:cs="Arial"/>
                                <w:lang w:val="sl-SI"/>
                              </w:rPr>
                              <w:t>fleksibilno vseživljenjsko učenje (izobraževalni eksperimenti na podlagi povpraševanja, usmerjene učne poti in ‘prznavanje vseživljenjskega učenja’)</w:t>
                            </w:r>
                            <w:r w:rsidR="0032030B" w:rsidRPr="00DA6F5B">
                              <w:rPr>
                                <w:rFonts w:cs="Arial"/>
                                <w:lang w:val="sl-SI"/>
                              </w:rPr>
                              <w:t>,</w:t>
                            </w:r>
                          </w:p>
                          <w:p w14:paraId="6576B5BE" w14:textId="68B2FB16" w:rsidR="00E335F1" w:rsidRPr="00DA6F5B" w:rsidRDefault="00E335F1" w:rsidP="00E335F1">
                            <w:pPr>
                              <w:pStyle w:val="Odstavekseznama"/>
                              <w:keepNext/>
                              <w:numPr>
                                <w:ilvl w:val="0"/>
                                <w:numId w:val="3"/>
                              </w:numPr>
                              <w:pBdr>
                                <w:top w:val="nil"/>
                                <w:left w:val="nil"/>
                                <w:bottom w:val="nil"/>
                                <w:right w:val="nil"/>
                                <w:between w:val="nil"/>
                                <w:bar w:val="nil"/>
                              </w:pBdr>
                              <w:spacing w:after="0"/>
                              <w:jc w:val="both"/>
                              <w:rPr>
                                <w:rFonts w:cs="Arial"/>
                                <w:lang w:val="sl-SI"/>
                              </w:rPr>
                            </w:pPr>
                            <w:r w:rsidRPr="00DA6F5B">
                              <w:rPr>
                                <w:rFonts w:cs="Arial"/>
                                <w:lang w:val="sl-SI"/>
                              </w:rPr>
                              <w:t>trajnostno regionalno sodelovanje na podlagi dejavnosti (angažma z družbo in trgom dela)</w:t>
                            </w:r>
                            <w:r w:rsidR="0032030B" w:rsidRPr="00DA6F5B">
                              <w:rPr>
                                <w:rFonts w:cs="Arial"/>
                                <w:lang w:val="sl-SI"/>
                              </w:rPr>
                              <w:t>,</w:t>
                            </w:r>
                          </w:p>
                          <w:p w14:paraId="162716DD" w14:textId="77777777" w:rsidR="00E335F1" w:rsidRPr="00DA6F5B" w:rsidRDefault="00E335F1" w:rsidP="00E335F1">
                            <w:pPr>
                              <w:pStyle w:val="Odstavekseznama"/>
                              <w:keepNext/>
                              <w:numPr>
                                <w:ilvl w:val="0"/>
                                <w:numId w:val="3"/>
                              </w:numPr>
                              <w:pBdr>
                                <w:top w:val="nil"/>
                                <w:left w:val="nil"/>
                                <w:bottom w:val="nil"/>
                                <w:right w:val="nil"/>
                                <w:between w:val="nil"/>
                                <w:bar w:val="nil"/>
                              </w:pBdr>
                              <w:spacing w:after="0"/>
                              <w:jc w:val="both"/>
                              <w:rPr>
                                <w:rFonts w:cs="Arial"/>
                                <w:lang w:val="sl-SI"/>
                              </w:rPr>
                            </w:pPr>
                            <w:r w:rsidRPr="00DA6F5B">
                              <w:rPr>
                                <w:rFonts w:cs="Arial"/>
                                <w:lang w:val="sl-SI"/>
                              </w:rPr>
                              <w:t>močnejše povezave s trgom dela (podjetniško izobraževanje, politika alumni in močnejša usmerjenost visokošolskih strokovnih centrov v strokovnost za družbene izzive).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7184D8" id="_x0000_t202" coordsize="21600,21600" o:spt="202" path="m,l,21600r21600,l21600,xe">
                <v:stroke joinstyle="miter"/>
                <v:path gradientshapeok="t" o:connecttype="rect"/>
              </v:shapetype>
              <v:shape id="Text Box 2" o:spid="_x0000_s1026" type="#_x0000_t202" style="position:absolute;left:0;text-align:left;margin-left:-8.8pt;margin-top:78.45pt;width:451.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" fillcolor="#d5dce4 [671]">
                <v:textbox style="mso-fit-shape-to-text:t">
                  <w:txbxContent>
                    <w:p w14:paraId="579C5116" w14:textId="77777777" w:rsidR="00E335F1" w:rsidRPr="00DA6F5B" w:rsidRDefault="00E335F1" w:rsidP="00E335F1">
                      <w:pPr>
                        <w:keepNext/>
                        <w:pBdr>
                          <w:top w:val="nil"/>
                          <w:left w:val="nil"/>
                          <w:bottom w:val="nil"/>
                          <w:right w:val="nil"/>
                          <w:between w:val="nil"/>
                          <w:bar w:val="nil"/>
                        </w:pBdr>
                        <w:spacing w:after="0"/>
                        <w:jc w:val="both"/>
                        <w:rPr>
                          <w:rFonts w:cs="Arial"/>
                          <w:b/>
                          <w:lang w:val="sl-SI"/>
                        </w:rPr>
                      </w:pPr>
                      <w:r w:rsidRPr="00DA6F5B">
                        <w:rPr>
                          <w:rFonts w:cs="Arial"/>
                          <w:b/>
                          <w:lang w:val="sl-SI"/>
                        </w:rPr>
                        <w:t>NIZOZEMSKA STRATEŠKA AGENDA ZA VISOKO ŠOLSTVO 2015-25</w:t>
                      </w:r>
                    </w:p>
                    <w:p w14:paraId="22DF9BD3" w14:textId="4F0E0FFD" w:rsidR="00E335F1" w:rsidRPr="00DA6F5B" w:rsidRDefault="00E335F1" w:rsidP="00E335F1">
                      <w:pPr>
                        <w:keepNext/>
                        <w:pBdr>
                          <w:top w:val="nil"/>
                          <w:left w:val="nil"/>
                          <w:bottom w:val="nil"/>
                          <w:right w:val="nil"/>
                          <w:between w:val="nil"/>
                          <w:bar w:val="nil"/>
                        </w:pBdr>
                        <w:spacing w:after="0"/>
                        <w:jc w:val="both"/>
                        <w:rPr>
                          <w:rFonts w:cs="Arial"/>
                          <w:lang w:val="sl-SI"/>
                        </w:rPr>
                      </w:pPr>
                      <w:r w:rsidRPr="00DA6F5B">
                        <w:rPr>
                          <w:rFonts w:cs="Arial"/>
                          <w:lang w:val="sl-SI"/>
                        </w:rPr>
                        <w:t>Nizozemska strateška agenda za visoko</w:t>
                      </w:r>
                      <w:r w:rsidR="00F365B4" w:rsidRPr="00DA6F5B">
                        <w:rPr>
                          <w:rFonts w:cs="Arial"/>
                          <w:lang w:val="sl-SI"/>
                        </w:rPr>
                        <w:t xml:space="preserve"> </w:t>
                      </w:r>
                      <w:r w:rsidRPr="00DA6F5B">
                        <w:rPr>
                          <w:rFonts w:cs="Arial"/>
                          <w:lang w:val="sl-SI"/>
                        </w:rPr>
                        <w:t>šolstvo identificira posebne dejavnike, ki ustvarjajo ugodno okolje za razvoj spretnosti, vključno s kritičnim razmišljanjem, sod</w:t>
                      </w:r>
                      <w:r w:rsidR="00F365B4" w:rsidRPr="00DA6F5B">
                        <w:rPr>
                          <w:rFonts w:cs="Arial"/>
                          <w:lang w:val="sl-SI"/>
                        </w:rPr>
                        <w:t>e</w:t>
                      </w:r>
                      <w:r w:rsidRPr="00DA6F5B">
                        <w:rPr>
                          <w:rFonts w:cs="Arial"/>
                          <w:lang w:val="sl-SI"/>
                        </w:rPr>
                        <w:t>lovanjem, kreativnostjo in usmerjenostjo v rezultate. Posebna področja v ospredju, ki jih bomo podpirali z dodatnim financiranjem v prihodnjih letih, vključujejo:</w:t>
                      </w:r>
                    </w:p>
                    <w:p w14:paraId="7769B787" w14:textId="3C2B3CDB" w:rsidR="00E335F1" w:rsidRPr="00DA6F5B" w:rsidRDefault="00F365B4" w:rsidP="00E335F1">
                      <w:pPr>
                        <w:pStyle w:val="ListParagraph"/>
                        <w:keepNext/>
                        <w:numPr>
                          <w:ilvl w:val="0"/>
                          <w:numId w:val="3"/>
                        </w:numPr>
                        <w:pBdr>
                          <w:top w:val="nil"/>
                          <w:left w:val="nil"/>
                          <w:bottom w:val="nil"/>
                          <w:right w:val="nil"/>
                          <w:between w:val="nil"/>
                          <w:bar w:val="nil"/>
                        </w:pBdr>
                        <w:spacing w:after="0"/>
                        <w:jc w:val="both"/>
                        <w:rPr>
                          <w:rFonts w:cs="Arial"/>
                          <w:lang w:val="sl-SI"/>
                        </w:rPr>
                      </w:pPr>
                      <w:r w:rsidRPr="00DA6F5B">
                        <w:rPr>
                          <w:rFonts w:cs="Arial"/>
                          <w:lang w:val="sl-SI"/>
                        </w:rPr>
                        <w:t>M</w:t>
                      </w:r>
                      <w:r w:rsidR="00E335F1" w:rsidRPr="00DA6F5B">
                        <w:rPr>
                          <w:rFonts w:cs="Arial"/>
                          <w:lang w:val="sl-SI"/>
                        </w:rPr>
                        <w:t>ajhne učne skupnosti (interakcija med študentom in učiteljem, individualizirana podpora in povratna informacija)</w:t>
                      </w:r>
                      <w:r w:rsidRPr="00DA6F5B">
                        <w:rPr>
                          <w:rFonts w:cs="Arial"/>
                          <w:lang w:val="sl-SI"/>
                        </w:rPr>
                        <w:t>,</w:t>
                      </w:r>
                    </w:p>
                    <w:p w14:paraId="2DB2B9FE" w14:textId="6CC5A355" w:rsidR="00E335F1" w:rsidRPr="00DA6F5B" w:rsidRDefault="00F365B4" w:rsidP="00E335F1">
                      <w:pPr>
                        <w:pStyle w:val="ListParagraph"/>
                        <w:keepNext/>
                        <w:numPr>
                          <w:ilvl w:val="0"/>
                          <w:numId w:val="3"/>
                        </w:numPr>
                        <w:pBdr>
                          <w:top w:val="nil"/>
                          <w:left w:val="nil"/>
                          <w:bottom w:val="nil"/>
                          <w:right w:val="nil"/>
                          <w:between w:val="nil"/>
                          <w:bar w:val="nil"/>
                        </w:pBdr>
                        <w:spacing w:after="0"/>
                        <w:jc w:val="both"/>
                        <w:rPr>
                          <w:rFonts w:cs="Arial"/>
                          <w:lang w:val="sl-SI"/>
                        </w:rPr>
                      </w:pPr>
                      <w:r w:rsidRPr="00DA6F5B">
                        <w:rPr>
                          <w:rFonts w:cs="Arial"/>
                          <w:lang w:val="sl-SI"/>
                        </w:rPr>
                        <w:t>b</w:t>
                      </w:r>
                      <w:r w:rsidR="00E335F1" w:rsidRPr="00DA6F5B">
                        <w:rPr>
                          <w:rFonts w:cs="Arial"/>
                          <w:lang w:val="sl-SI"/>
                        </w:rPr>
                        <w:t>ogata učna okolja, prežeta z raziskovalnimi, strokovnimi praksami, mednarodnimi učilnicami, izobraževanjem online in novimi učnimi okolji</w:t>
                      </w:r>
                      <w:r w:rsidR="0032030B" w:rsidRPr="00DA6F5B">
                        <w:rPr>
                          <w:rFonts w:cs="Arial"/>
                          <w:lang w:val="sl-SI"/>
                        </w:rPr>
                        <w:t>,</w:t>
                      </w:r>
                    </w:p>
                    <w:p w14:paraId="3C961A2B" w14:textId="7517DB48" w:rsidR="00E335F1" w:rsidRPr="00DA6F5B" w:rsidRDefault="00E335F1" w:rsidP="00E335F1">
                      <w:pPr>
                        <w:pStyle w:val="ListParagraph"/>
                        <w:keepNext/>
                        <w:numPr>
                          <w:ilvl w:val="0"/>
                          <w:numId w:val="3"/>
                        </w:numPr>
                        <w:pBdr>
                          <w:top w:val="nil"/>
                          <w:left w:val="nil"/>
                          <w:bottom w:val="nil"/>
                          <w:right w:val="nil"/>
                          <w:between w:val="nil"/>
                          <w:bar w:val="nil"/>
                        </w:pBdr>
                        <w:spacing w:after="0"/>
                        <w:jc w:val="both"/>
                        <w:rPr>
                          <w:rFonts w:cs="Arial"/>
                          <w:lang w:val="sl-SI"/>
                        </w:rPr>
                      </w:pPr>
                      <w:r w:rsidRPr="00DA6F5B">
                        <w:rPr>
                          <w:rFonts w:cs="Arial"/>
                          <w:lang w:val="sl-SI"/>
                        </w:rPr>
                        <w:t>fleksibilno vseživljenjsko učenje (izobraževalni eksperimenti na podlagi povpraševanja, usmerjene učne poti in ‘prznavanje vseživljenjskega učenja’)</w:t>
                      </w:r>
                      <w:r w:rsidR="0032030B" w:rsidRPr="00DA6F5B">
                        <w:rPr>
                          <w:rFonts w:cs="Arial"/>
                          <w:lang w:val="sl-SI"/>
                        </w:rPr>
                        <w:t>,</w:t>
                      </w:r>
                    </w:p>
                    <w:p w14:paraId="6576B5BE" w14:textId="68B2FB16" w:rsidR="00E335F1" w:rsidRPr="00DA6F5B" w:rsidRDefault="00E335F1" w:rsidP="00E335F1">
                      <w:pPr>
                        <w:pStyle w:val="ListParagraph"/>
                        <w:keepNext/>
                        <w:numPr>
                          <w:ilvl w:val="0"/>
                          <w:numId w:val="3"/>
                        </w:numPr>
                        <w:pBdr>
                          <w:top w:val="nil"/>
                          <w:left w:val="nil"/>
                          <w:bottom w:val="nil"/>
                          <w:right w:val="nil"/>
                          <w:between w:val="nil"/>
                          <w:bar w:val="nil"/>
                        </w:pBdr>
                        <w:spacing w:after="0"/>
                        <w:jc w:val="both"/>
                        <w:rPr>
                          <w:rFonts w:cs="Arial"/>
                          <w:lang w:val="sl-SI"/>
                        </w:rPr>
                      </w:pPr>
                      <w:r w:rsidRPr="00DA6F5B">
                        <w:rPr>
                          <w:rFonts w:cs="Arial"/>
                          <w:lang w:val="sl-SI"/>
                        </w:rPr>
                        <w:t>trajnostno regionalno sodelovanje na podlagi dejavnosti (angažma z družbo in trgom dela)</w:t>
                      </w:r>
                      <w:r w:rsidR="0032030B" w:rsidRPr="00DA6F5B">
                        <w:rPr>
                          <w:rFonts w:cs="Arial"/>
                          <w:lang w:val="sl-SI"/>
                        </w:rPr>
                        <w:t>,</w:t>
                      </w:r>
                    </w:p>
                    <w:p w14:paraId="162716DD" w14:textId="77777777" w:rsidR="00E335F1" w:rsidRPr="00DA6F5B" w:rsidRDefault="00E335F1" w:rsidP="00E335F1">
                      <w:pPr>
                        <w:pStyle w:val="ListParagraph"/>
                        <w:keepNext/>
                        <w:numPr>
                          <w:ilvl w:val="0"/>
                          <w:numId w:val="3"/>
                        </w:numPr>
                        <w:pBdr>
                          <w:top w:val="nil"/>
                          <w:left w:val="nil"/>
                          <w:bottom w:val="nil"/>
                          <w:right w:val="nil"/>
                          <w:between w:val="nil"/>
                          <w:bar w:val="nil"/>
                        </w:pBdr>
                        <w:spacing w:after="0"/>
                        <w:jc w:val="both"/>
                        <w:rPr>
                          <w:rFonts w:cs="Arial"/>
                          <w:lang w:val="sl-SI"/>
                        </w:rPr>
                      </w:pPr>
                      <w:r w:rsidRPr="00DA6F5B">
                        <w:rPr>
                          <w:rFonts w:cs="Arial"/>
                          <w:lang w:val="sl-SI"/>
                        </w:rPr>
                        <w:t>močnejše povezave s trgom dela (podjetniško izobraževanje, politika alumni in močnejša usmerjenost visokošolskih strokovnih centrov v strokovnost za družbene izzive).</w:t>
                      </w:r>
                    </w:p>
                  </w:txbxContent>
                </v:textbox>
                <w10:wrap type="square"/>
              </v:shape>
            </w:pict>
          </mc:Fallback>
        </mc:AlternateContent>
      </w:r>
      <w:r w:rsidR="00E335F1" w:rsidRPr="00DA6F5B">
        <w:rPr>
          <w:rFonts w:ascii="Times New Roman" w:hAnsi="Times New Roman" w:cs="Times New Roman"/>
          <w:noProof/>
          <w:sz w:val="24"/>
          <w:szCs w:val="24"/>
          <w:lang w:val="sl-SI"/>
        </w:rPr>
        <w:t>Te spremembe se primarno dogajajo znotraj posameznih fakultet in visokošolskih institucij. Vendar, vlade in urejevalci sistemov povečujejo pozornost na učinkovito učno okolje in organizacijo učenja v svojih strategijah, kot ponazarja najnovejša Nizozemska visokošolska strategija</w:t>
      </w:r>
      <w:r w:rsidR="00E335F1" w:rsidRPr="00DA6F5B">
        <w:rPr>
          <w:rStyle w:val="Sprotnaopomba-sklic"/>
          <w:rFonts w:ascii="Times New Roman" w:hAnsi="Times New Roman" w:cs="Times New Roman"/>
          <w:noProof/>
          <w:sz w:val="24"/>
          <w:szCs w:val="24"/>
          <w:lang w:val="sl-SI"/>
        </w:rPr>
        <w:footnoteReference w:id="7"/>
      </w:r>
      <w:r w:rsidR="00E335F1" w:rsidRPr="00DA6F5B">
        <w:rPr>
          <w:rFonts w:ascii="Times New Roman" w:hAnsi="Times New Roman" w:cs="Times New Roman"/>
          <w:noProof/>
          <w:sz w:val="24"/>
          <w:szCs w:val="24"/>
          <w:lang w:val="sl-SI"/>
        </w:rPr>
        <w:t>.</w:t>
      </w:r>
    </w:p>
    <w:p w14:paraId="474E08CB" w14:textId="040268A0" w:rsidR="00E335F1" w:rsidRPr="00DA6F5B" w:rsidRDefault="00E335F1" w:rsidP="00E335F1">
      <w:pPr>
        <w:pStyle w:val="Odstavekseznama"/>
        <w:keepNext/>
        <w:pBdr>
          <w:top w:val="nil"/>
          <w:left w:val="nil"/>
          <w:bottom w:val="nil"/>
          <w:right w:val="nil"/>
          <w:between w:val="nil"/>
          <w:bar w:val="nil"/>
        </w:pBdr>
        <w:ind w:left="0"/>
        <w:contextualSpacing w:val="0"/>
        <w:jc w:val="both"/>
        <w:rPr>
          <w:rFonts w:ascii="Arial" w:hAnsi="Arial" w:cs="Arial"/>
          <w:i/>
          <w:noProof/>
          <w:sz w:val="16"/>
          <w:szCs w:val="16"/>
          <w:lang w:val="sl-SI"/>
        </w:rPr>
      </w:pPr>
      <w:r w:rsidRPr="00DA6F5B">
        <w:rPr>
          <w:rFonts w:ascii="Arial" w:hAnsi="Arial" w:cs="Arial"/>
          <w:i/>
          <w:noProof/>
          <w:sz w:val="16"/>
          <w:szCs w:val="16"/>
          <w:lang w:val="sl-SI"/>
        </w:rPr>
        <w:t>vir: De waarde(n) van weten: Strategische Agenda Hoger Onderwijs en Onderzoek 2015-2025</w:t>
      </w:r>
    </w:p>
    <w:p w14:paraId="17B432D5" w14:textId="1A38D1BA" w:rsidR="00E335F1" w:rsidRPr="00DA6F5B" w:rsidRDefault="00E335F1" w:rsidP="00E335F1">
      <w:pPr>
        <w:pStyle w:val="Odstavekseznama"/>
        <w:keepNext/>
        <w:pBdr>
          <w:top w:val="nil"/>
          <w:left w:val="nil"/>
          <w:bottom w:val="nil"/>
          <w:right w:val="nil"/>
          <w:between w:val="nil"/>
          <w:bar w:val="nil"/>
        </w:pBdr>
        <w:ind w:left="0"/>
        <w:contextualSpacing w:val="0"/>
        <w:jc w:val="both"/>
        <w:rPr>
          <w:rFonts w:ascii="Times New Roman" w:hAnsi="Times New Roman" w:cs="Times New Roman"/>
          <w:b/>
          <w:i/>
          <w:noProof/>
          <w:sz w:val="24"/>
          <w:szCs w:val="24"/>
          <w:lang w:val="sl-SI"/>
        </w:rPr>
      </w:pPr>
      <w:r w:rsidRPr="00DA6F5B">
        <w:rPr>
          <w:rFonts w:ascii="Times New Roman" w:hAnsi="Times New Roman" w:cs="Times New Roman"/>
          <w:b/>
          <w:i/>
          <w:noProof/>
          <w:sz w:val="24"/>
          <w:szCs w:val="24"/>
          <w:lang w:val="sl-SI"/>
        </w:rPr>
        <w:t>Uporaba potenciala odprtega in online učenja</w:t>
      </w:r>
      <w:r w:rsidR="0032030B" w:rsidRPr="00DA6F5B">
        <w:rPr>
          <w:rFonts w:ascii="Times New Roman" w:hAnsi="Times New Roman" w:cs="Times New Roman"/>
          <w:b/>
          <w:i/>
          <w:noProof/>
          <w:sz w:val="24"/>
          <w:szCs w:val="24"/>
          <w:lang w:val="sl-SI"/>
        </w:rPr>
        <w:t xml:space="preserve"> </w:t>
      </w:r>
      <w:r w:rsidRPr="00DA6F5B">
        <w:rPr>
          <w:rFonts w:ascii="Times New Roman" w:hAnsi="Times New Roman" w:cs="Times New Roman"/>
          <w:b/>
          <w:i/>
          <w:noProof/>
          <w:sz w:val="24"/>
          <w:szCs w:val="24"/>
          <w:lang w:val="sl-SI"/>
        </w:rPr>
        <w:t>…</w:t>
      </w:r>
    </w:p>
    <w:p w14:paraId="770EDC1C" w14:textId="623F0B0E" w:rsidR="00E335F1" w:rsidRPr="00DA6F5B" w:rsidRDefault="00E335F1" w:rsidP="00E335F1">
      <w:pPr>
        <w:pStyle w:val="Odstavekseznama"/>
        <w:keepNext/>
        <w:numPr>
          <w:ilvl w:val="0"/>
          <w:numId w:val="2"/>
        </w:numPr>
        <w:pBdr>
          <w:top w:val="nil"/>
          <w:left w:val="nil"/>
          <w:bottom w:val="nil"/>
          <w:right w:val="nil"/>
          <w:between w:val="nil"/>
          <w:bar w:val="nil"/>
        </w:pBdr>
        <w:ind w:left="0" w:firstLine="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rPr>
        <w:t>En vidik motivacije za modernizacijo visokega šolstva je osredotočanja na uporabo digitalnih tehnologij za stimulacijo inovativnosti, presonalizacije in širšega dostopa do visokega šolstva. To vključuje uporabo zgoraj poudarjene tehnologije za spremembo učenja znotraj tradicionalnih visokošolskih postav, kot tudi predvidevanje novih tipov učnih tečajev online ali naprednega mešanega učenja. Vključuje uveljavljene visokošolske institucije, s tem da spreminja njihove dosedanje aktivnosti ali razvija nove, i</w:t>
      </w:r>
      <w:r w:rsidR="00997CFA" w:rsidRPr="00DA6F5B">
        <w:rPr>
          <w:rFonts w:ascii="Times New Roman" w:hAnsi="Times New Roman" w:cs="Times New Roman"/>
          <w:noProof/>
          <w:sz w:val="24"/>
          <w:szCs w:val="24"/>
          <w:lang w:val="sl-SI"/>
        </w:rPr>
        <w:t>m</w:t>
      </w:r>
      <w:r w:rsidRPr="00DA6F5B">
        <w:rPr>
          <w:rFonts w:ascii="Times New Roman" w:hAnsi="Times New Roman" w:cs="Times New Roman"/>
          <w:noProof/>
          <w:sz w:val="24"/>
          <w:szCs w:val="24"/>
          <w:lang w:val="sl-SI"/>
        </w:rPr>
        <w:t>a pa nove akterje – posebej zasebn</w:t>
      </w:r>
      <w:r w:rsidR="00997CFA" w:rsidRPr="00DA6F5B">
        <w:rPr>
          <w:rFonts w:ascii="Times New Roman" w:hAnsi="Times New Roman" w:cs="Times New Roman"/>
          <w:noProof/>
          <w:sz w:val="24"/>
          <w:szCs w:val="24"/>
          <w:lang w:val="sl-SI"/>
        </w:rPr>
        <w:t>e</w:t>
      </w:r>
      <w:r w:rsidRPr="00DA6F5B">
        <w:rPr>
          <w:rFonts w:ascii="Times New Roman" w:hAnsi="Times New Roman" w:cs="Times New Roman"/>
          <w:noProof/>
          <w:sz w:val="24"/>
          <w:szCs w:val="24"/>
          <w:lang w:val="sl-SI"/>
        </w:rPr>
        <w:t xml:space="preserve"> družbe – zunaj tradicionalnega visokošolskega sveta. Odprto in online učenje spodbuja več načinov poučevanja in učenja, gradnje in deljenja znanja, širjenja dostopa do izobraževanja, kot tudi povezovanja formalnega in neformalnega učenja. OpenEdu Framework JRC-ja predlaga 10 dimenzij, v katerih lahko postanejo visokošolske institucije bolj odprte in modernizirajo izobraževanje s pomočjo uporabe digitalnih tehnologij</w:t>
      </w:r>
      <w:r w:rsidRPr="00DA6F5B">
        <w:rPr>
          <w:rStyle w:val="Sprotnaopomba-sklic"/>
          <w:rFonts w:ascii="Times New Roman" w:hAnsi="Times New Roman" w:cs="Times New Roman"/>
          <w:noProof/>
          <w:sz w:val="24"/>
          <w:szCs w:val="24"/>
          <w:lang w:val="sl-SI"/>
        </w:rPr>
        <w:footnoteReference w:id="8"/>
      </w:r>
      <w:r w:rsidRPr="00DA6F5B">
        <w:rPr>
          <w:rFonts w:ascii="Times New Roman" w:hAnsi="Times New Roman" w:cs="Times New Roman"/>
          <w:noProof/>
          <w:sz w:val="24"/>
          <w:szCs w:val="24"/>
          <w:lang w:val="sl-SI"/>
        </w:rPr>
        <w:t>.</w:t>
      </w:r>
    </w:p>
    <w:p w14:paraId="101F09FF" w14:textId="6653046F" w:rsidR="00E335F1" w:rsidRPr="00DA6F5B" w:rsidRDefault="00E335F1" w:rsidP="00E335F1">
      <w:pPr>
        <w:pStyle w:val="Odstavekseznama"/>
        <w:keepNext/>
        <w:numPr>
          <w:ilvl w:val="0"/>
          <w:numId w:val="2"/>
        </w:numPr>
        <w:pBdr>
          <w:top w:val="nil"/>
          <w:left w:val="nil"/>
          <w:bottom w:val="nil"/>
          <w:right w:val="nil"/>
          <w:between w:val="nil"/>
          <w:bar w:val="nil"/>
        </w:pBdr>
        <w:ind w:left="0" w:firstLine="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rPr>
        <w:t>Medtem je poročilo Trends Evropskega univerzitetnega združenja (European University Association) za leto 2015</w:t>
      </w:r>
      <w:r w:rsidRPr="00DA6F5B">
        <w:rPr>
          <w:rStyle w:val="Sprotnaopomba-sklic"/>
          <w:rFonts w:ascii="Times New Roman" w:hAnsi="Times New Roman" w:cs="Times New Roman"/>
          <w:noProof/>
          <w:sz w:val="24"/>
          <w:szCs w:val="24"/>
          <w:lang w:val="sl-SI"/>
        </w:rPr>
        <w:footnoteReference w:id="9"/>
      </w:r>
      <w:r w:rsidRPr="00DA6F5B">
        <w:rPr>
          <w:rFonts w:ascii="Times New Roman" w:hAnsi="Times New Roman" w:cs="Times New Roman"/>
          <w:noProof/>
          <w:sz w:val="24"/>
          <w:szCs w:val="24"/>
          <w:lang w:val="sl-SI"/>
        </w:rPr>
        <w:t xml:space="preserve"> ugotovilo, da je digitalizacija ena ključnih tem agend visokošolskih institucij in se že veliko dogaja na tem področju, 45</w:t>
      </w:r>
      <w:r w:rsidR="0067466B" w:rsidRPr="00DA6F5B">
        <w:rPr>
          <w:rFonts w:ascii="Times New Roman" w:hAnsi="Times New Roman" w:cs="Times New Roman"/>
          <w:noProof/>
          <w:sz w:val="24"/>
          <w:szCs w:val="24"/>
          <w:lang w:val="sl-SI"/>
        </w:rPr>
        <w:t xml:space="preserve"> </w:t>
      </w:r>
      <w:r w:rsidRPr="00DA6F5B">
        <w:rPr>
          <w:rFonts w:ascii="Times New Roman" w:hAnsi="Times New Roman" w:cs="Times New Roman"/>
          <w:noProof/>
          <w:sz w:val="24"/>
          <w:szCs w:val="24"/>
          <w:lang w:val="sl-SI"/>
        </w:rPr>
        <w:t>% tistih, ki so odgovorili na online posvetovanje Komisije</w:t>
      </w:r>
      <w:r w:rsidR="00963882" w:rsidRPr="00DA6F5B">
        <w:rPr>
          <w:rFonts w:ascii="Times New Roman" w:hAnsi="Times New Roman" w:cs="Times New Roman"/>
          <w:noProof/>
          <w:sz w:val="24"/>
          <w:szCs w:val="24"/>
          <w:lang w:val="sl-SI"/>
        </w:rPr>
        <w:t xml:space="preserve"> </w:t>
      </w:r>
      <w:r w:rsidRPr="00DA6F5B">
        <w:rPr>
          <w:rFonts w:ascii="Times New Roman" w:hAnsi="Times New Roman" w:cs="Times New Roman"/>
          <w:noProof/>
          <w:sz w:val="24"/>
          <w:szCs w:val="24"/>
          <w:lang w:val="sl-SI"/>
        </w:rPr>
        <w:t>v letu 2016</w:t>
      </w:r>
      <w:r w:rsidR="0067466B" w:rsidRPr="00DA6F5B">
        <w:rPr>
          <w:rFonts w:ascii="Times New Roman" w:hAnsi="Times New Roman" w:cs="Times New Roman"/>
          <w:noProof/>
          <w:sz w:val="24"/>
          <w:szCs w:val="24"/>
          <w:lang w:val="sl-SI"/>
        </w:rPr>
        <w:t>,</w:t>
      </w:r>
      <w:r w:rsidRPr="00DA6F5B">
        <w:rPr>
          <w:rFonts w:ascii="Times New Roman" w:hAnsi="Times New Roman" w:cs="Times New Roman"/>
          <w:noProof/>
          <w:sz w:val="24"/>
          <w:szCs w:val="24"/>
          <w:lang w:val="sl-SI"/>
        </w:rPr>
        <w:t xml:space="preserve"> je izrazilo skrb, da tehnologija še ni učinkovito uporablj</w:t>
      </w:r>
      <w:r w:rsidR="0067466B" w:rsidRPr="00DA6F5B">
        <w:rPr>
          <w:rFonts w:ascii="Times New Roman" w:hAnsi="Times New Roman" w:cs="Times New Roman"/>
          <w:noProof/>
          <w:sz w:val="24"/>
          <w:szCs w:val="24"/>
          <w:lang w:val="sl-SI"/>
        </w:rPr>
        <w:t>e</w:t>
      </w:r>
      <w:r w:rsidRPr="00DA6F5B">
        <w:rPr>
          <w:rFonts w:ascii="Times New Roman" w:hAnsi="Times New Roman" w:cs="Times New Roman"/>
          <w:noProof/>
          <w:sz w:val="24"/>
          <w:szCs w:val="24"/>
          <w:lang w:val="sl-SI"/>
        </w:rPr>
        <w:t>n</w:t>
      </w:r>
      <w:r w:rsidR="00761FA1" w:rsidRPr="00DA6F5B">
        <w:rPr>
          <w:rFonts w:ascii="Times New Roman" w:hAnsi="Times New Roman" w:cs="Times New Roman"/>
          <w:noProof/>
          <w:sz w:val="24"/>
          <w:szCs w:val="24"/>
          <w:lang w:val="sl-SI"/>
        </w:rPr>
        <w:t>a</w:t>
      </w:r>
      <w:r w:rsidRPr="00DA6F5B">
        <w:rPr>
          <w:rFonts w:ascii="Times New Roman" w:hAnsi="Times New Roman" w:cs="Times New Roman"/>
          <w:noProof/>
          <w:sz w:val="24"/>
          <w:szCs w:val="24"/>
          <w:lang w:val="sl-SI"/>
        </w:rPr>
        <w:t xml:space="preserve"> za izboljšanje poučevanje in učenje v visokem šolstvu</w:t>
      </w:r>
      <w:r w:rsidRPr="00DA6F5B">
        <w:rPr>
          <w:rStyle w:val="Sprotnaopomba-sklic"/>
          <w:rFonts w:ascii="Times New Roman" w:hAnsi="Times New Roman" w:cs="Times New Roman"/>
          <w:noProof/>
          <w:sz w:val="24"/>
          <w:szCs w:val="24"/>
          <w:lang w:val="sl-SI"/>
        </w:rPr>
        <w:footnoteReference w:id="10"/>
      </w:r>
      <w:r w:rsidRPr="00DA6F5B">
        <w:rPr>
          <w:rFonts w:ascii="Times New Roman" w:hAnsi="Times New Roman" w:cs="Times New Roman"/>
          <w:noProof/>
          <w:sz w:val="24"/>
          <w:szCs w:val="24"/>
          <w:lang w:val="sl-SI"/>
        </w:rPr>
        <w:t>. V obstoječih visokošolskih institucijah vidijo digitalizacijo predvse</w:t>
      </w:r>
      <w:r w:rsidR="00761FA1" w:rsidRPr="00DA6F5B">
        <w:rPr>
          <w:rFonts w:ascii="Times New Roman" w:hAnsi="Times New Roman" w:cs="Times New Roman"/>
          <w:noProof/>
          <w:sz w:val="24"/>
          <w:szCs w:val="24"/>
          <w:lang w:val="sl-SI"/>
        </w:rPr>
        <w:t>m</w:t>
      </w:r>
      <w:r w:rsidRPr="00DA6F5B">
        <w:rPr>
          <w:rFonts w:ascii="Times New Roman" w:hAnsi="Times New Roman" w:cs="Times New Roman"/>
          <w:noProof/>
          <w:sz w:val="24"/>
          <w:szCs w:val="24"/>
          <w:lang w:val="sl-SI"/>
        </w:rPr>
        <w:t xml:space="preserve"> kot sredstvo za pospeševanje kakovost</w:t>
      </w:r>
      <w:r w:rsidR="00761FA1" w:rsidRPr="00DA6F5B">
        <w:rPr>
          <w:rFonts w:ascii="Times New Roman" w:hAnsi="Times New Roman" w:cs="Times New Roman"/>
          <w:noProof/>
          <w:sz w:val="24"/>
          <w:szCs w:val="24"/>
          <w:lang w:val="sl-SI"/>
        </w:rPr>
        <w:t>i</w:t>
      </w:r>
      <w:r w:rsidRPr="00DA6F5B">
        <w:rPr>
          <w:rFonts w:ascii="Times New Roman" w:hAnsi="Times New Roman" w:cs="Times New Roman"/>
          <w:noProof/>
          <w:sz w:val="24"/>
          <w:szCs w:val="24"/>
          <w:lang w:val="sl-SI"/>
        </w:rPr>
        <w:t xml:space="preserve"> izobraževanja, osebno poučevanje in izboljšanje metod za ocenjevanje</w:t>
      </w:r>
      <w:r w:rsidRPr="00DA6F5B">
        <w:rPr>
          <w:rStyle w:val="Sprotnaopomba-sklic"/>
          <w:rFonts w:ascii="Times New Roman" w:hAnsi="Times New Roman" w:cs="Times New Roman"/>
          <w:noProof/>
          <w:sz w:val="24"/>
          <w:szCs w:val="24"/>
          <w:lang w:val="sl-SI"/>
        </w:rPr>
        <w:footnoteReference w:id="11"/>
      </w:r>
      <w:r w:rsidRPr="00DA6F5B">
        <w:rPr>
          <w:rFonts w:ascii="Times New Roman" w:hAnsi="Times New Roman" w:cs="Times New Roman"/>
          <w:noProof/>
          <w:sz w:val="24"/>
          <w:szCs w:val="24"/>
          <w:lang w:val="sl-SI"/>
        </w:rPr>
        <w:t>. Širitev online te</w:t>
      </w:r>
      <w:r w:rsidR="00761FA1" w:rsidRPr="00DA6F5B">
        <w:rPr>
          <w:rFonts w:ascii="Times New Roman" w:hAnsi="Times New Roman" w:cs="Times New Roman"/>
          <w:noProof/>
          <w:sz w:val="24"/>
          <w:szCs w:val="24"/>
          <w:lang w:val="sl-SI"/>
        </w:rPr>
        <w:t>č</w:t>
      </w:r>
      <w:r w:rsidRPr="00DA6F5B">
        <w:rPr>
          <w:rFonts w:ascii="Times New Roman" w:hAnsi="Times New Roman" w:cs="Times New Roman"/>
          <w:noProof/>
          <w:sz w:val="24"/>
          <w:szCs w:val="24"/>
          <w:lang w:val="sl-SI"/>
        </w:rPr>
        <w:t>ajev in 'razvozlanje' izobraževalnih programov v manjše tečaje, ki jih lahko podamo online, vidijo kot sredstvo za širitev dostopa do visokošolskega učenja, posebej za tiste, ki so že na trgu dela.</w:t>
      </w:r>
    </w:p>
    <w:p w14:paraId="11CF3DCD" w14:textId="11D03AC3" w:rsidR="00E335F1" w:rsidRPr="00DA6F5B" w:rsidRDefault="00E335F1" w:rsidP="00E335F1">
      <w:pPr>
        <w:pStyle w:val="Odstavekseznama"/>
        <w:keepNext/>
        <w:numPr>
          <w:ilvl w:val="0"/>
          <w:numId w:val="2"/>
        </w:numPr>
        <w:pBdr>
          <w:top w:val="nil"/>
          <w:left w:val="nil"/>
          <w:bottom w:val="nil"/>
          <w:right w:val="nil"/>
          <w:between w:val="nil"/>
          <w:bar w:val="nil"/>
        </w:pBdr>
        <w:ind w:left="0" w:firstLine="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rPr>
        <w:t>Do danes je uporaba tehnologij za učenje in poučevanje prvotno bil</w:t>
      </w:r>
      <w:r w:rsidR="00DC42B2" w:rsidRPr="00DA6F5B">
        <w:rPr>
          <w:rFonts w:ascii="Times New Roman" w:hAnsi="Times New Roman" w:cs="Times New Roman"/>
          <w:noProof/>
          <w:sz w:val="24"/>
          <w:szCs w:val="24"/>
          <w:lang w:val="sl-SI"/>
        </w:rPr>
        <w:t>a</w:t>
      </w:r>
      <w:r w:rsidRPr="00DA6F5B">
        <w:rPr>
          <w:rFonts w:ascii="Times New Roman" w:hAnsi="Times New Roman" w:cs="Times New Roman"/>
          <w:noProof/>
          <w:sz w:val="24"/>
          <w:szCs w:val="24"/>
          <w:lang w:val="sl-SI"/>
        </w:rPr>
        <w:t xml:space="preserve"> odvisn</w:t>
      </w:r>
      <w:r w:rsidR="00DC42B2" w:rsidRPr="00DA6F5B">
        <w:rPr>
          <w:rFonts w:ascii="Times New Roman" w:hAnsi="Times New Roman" w:cs="Times New Roman"/>
          <w:noProof/>
          <w:sz w:val="24"/>
          <w:szCs w:val="24"/>
          <w:lang w:val="sl-SI"/>
        </w:rPr>
        <w:t>a</w:t>
      </w:r>
      <w:r w:rsidRPr="00DA6F5B">
        <w:rPr>
          <w:rFonts w:ascii="Times New Roman" w:hAnsi="Times New Roman" w:cs="Times New Roman"/>
          <w:noProof/>
          <w:sz w:val="24"/>
          <w:szCs w:val="24"/>
          <w:lang w:val="sl-SI"/>
        </w:rPr>
        <w:t xml:space="preserve"> od posameznih fakultet in učiteljev. Institucije so vlagale v tehnologijo, vendar pogosto ne kot del koherentne strategije digitalizacije. Še več, medtem ko je potencial pristopov tehnologiji za podporo učinkovitega, interaktivnega in inter-disciplinarnega učenja smotrn, obstaja dokaz, da mešano učenje ni vedno uporabljeno za pedagoško inovacijo. Mnogi online tečaji preprosto prenašajo tradicionalna predavanja na online platformo</w:t>
      </w:r>
      <w:r w:rsidRPr="00DA6F5B">
        <w:rPr>
          <w:rStyle w:val="Sprotnaopomba-sklic"/>
          <w:rFonts w:ascii="Times New Roman" w:hAnsi="Times New Roman" w:cs="Times New Roman"/>
          <w:noProof/>
          <w:sz w:val="24"/>
          <w:szCs w:val="24"/>
          <w:lang w:val="sl-SI"/>
        </w:rPr>
        <w:footnoteReference w:id="12"/>
      </w:r>
      <w:r w:rsidRPr="00DA6F5B">
        <w:rPr>
          <w:rFonts w:ascii="Times New Roman" w:hAnsi="Times New Roman" w:cs="Times New Roman"/>
          <w:noProof/>
          <w:sz w:val="24"/>
          <w:szCs w:val="24"/>
          <w:lang w:val="sl-SI"/>
        </w:rPr>
        <w:t>.</w:t>
      </w:r>
    </w:p>
    <w:p w14:paraId="5682A3DC" w14:textId="40133CCA" w:rsidR="00E335F1" w:rsidRPr="00DA6F5B" w:rsidRDefault="00E335F1" w:rsidP="00E335F1">
      <w:pPr>
        <w:pStyle w:val="Odstavekseznama"/>
        <w:keepNext/>
        <w:numPr>
          <w:ilvl w:val="0"/>
          <w:numId w:val="2"/>
        </w:numPr>
        <w:pBdr>
          <w:top w:val="nil"/>
          <w:left w:val="nil"/>
          <w:bottom w:val="nil"/>
          <w:right w:val="nil"/>
          <w:between w:val="nil"/>
          <w:bar w:val="nil"/>
        </w:pBdr>
        <w:ind w:left="0" w:firstLine="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rPr>
        <w:t>Po začetnem vzdušenju, ki je imelo vrhunec okoli leta 2012</w:t>
      </w:r>
      <w:r w:rsidRPr="00DA6F5B">
        <w:rPr>
          <w:rStyle w:val="Sprotnaopomba-sklic"/>
          <w:noProof/>
          <w:lang w:val="sl-SI"/>
        </w:rPr>
        <w:footnoteReference w:id="13"/>
      </w:r>
      <w:r w:rsidRPr="00DA6F5B">
        <w:rPr>
          <w:rFonts w:ascii="Times New Roman" w:hAnsi="Times New Roman" w:cs="Times New Roman"/>
          <w:noProof/>
          <w:sz w:val="24"/>
          <w:szCs w:val="24"/>
          <w:lang w:val="sl-SI"/>
        </w:rPr>
        <w:t>, globalni interes v in prevzem ti. Massive Open Online Courses (MOOCs) narašča. Zasebna platforma MOOC Coursera ima 22 milijonov vpisanih učencev, medtem ko je Udacity v sodelovanju z delodajalci razvil nove oblike 'nano-diplom' na tehnološko osredotočenih področjih, z uporabo plačilnega modela s spodbudami za hitro zaključevanje</w:t>
      </w:r>
      <w:r w:rsidRPr="00DA6F5B">
        <w:rPr>
          <w:rStyle w:val="Sprotnaopomba-sklic"/>
          <w:noProof/>
          <w:lang w:val="sl-SI"/>
        </w:rPr>
        <w:footnoteReference w:id="14"/>
      </w:r>
      <w:r w:rsidRPr="00DA6F5B">
        <w:rPr>
          <w:rFonts w:ascii="Times New Roman" w:hAnsi="Times New Roman" w:cs="Times New Roman"/>
          <w:noProof/>
          <w:sz w:val="24"/>
          <w:szCs w:val="24"/>
          <w:lang w:val="sl-SI"/>
        </w:rPr>
        <w:t>. Veliko vsebin danes razpoložljivih MOOC zagotavljajo visokošolske institucije</w:t>
      </w:r>
      <w:r w:rsidRPr="00DA6F5B">
        <w:rPr>
          <w:rStyle w:val="Sprotnaopomba-sklic"/>
          <w:rFonts w:ascii="Times New Roman" w:hAnsi="Times New Roman" w:cs="Times New Roman"/>
          <w:noProof/>
          <w:sz w:val="24"/>
          <w:szCs w:val="24"/>
          <w:lang w:val="sl-SI"/>
        </w:rPr>
        <w:footnoteReference w:id="15"/>
      </w:r>
      <w:r w:rsidRPr="00DA6F5B">
        <w:rPr>
          <w:rFonts w:ascii="Times New Roman" w:hAnsi="Times New Roman" w:cs="Times New Roman"/>
          <w:noProof/>
          <w:sz w:val="24"/>
          <w:szCs w:val="24"/>
          <w:lang w:val="sl-SI"/>
        </w:rPr>
        <w:t xml:space="preserve"> z osebjem, ki črpa iz elementov obstoječih programov in oblikuje kratke tečaje, ki imajo za izid 'micro-spričevala'. V anketi iz leta 2015, ki so jo izvajali v Franciji, Nemčiji, na Poljskem, v Španiji in VB, je 22</w:t>
      </w:r>
      <w:r w:rsidR="00C32773" w:rsidRPr="00DA6F5B">
        <w:rPr>
          <w:rFonts w:ascii="Times New Roman" w:hAnsi="Times New Roman" w:cs="Times New Roman"/>
          <w:noProof/>
          <w:sz w:val="24"/>
          <w:szCs w:val="24"/>
          <w:lang w:val="sl-SI"/>
        </w:rPr>
        <w:t xml:space="preserve"> </w:t>
      </w:r>
      <w:r w:rsidRPr="00DA6F5B">
        <w:rPr>
          <w:rFonts w:ascii="Times New Roman" w:hAnsi="Times New Roman" w:cs="Times New Roman"/>
          <w:noProof/>
          <w:sz w:val="24"/>
          <w:szCs w:val="24"/>
          <w:lang w:val="sl-SI"/>
        </w:rPr>
        <w:t>% visokošolskih zavodov izjavilo, da ponujajo MOOC, 19</w:t>
      </w:r>
      <w:r w:rsidR="00C32773" w:rsidRPr="00DA6F5B">
        <w:rPr>
          <w:rFonts w:ascii="Times New Roman" w:hAnsi="Times New Roman" w:cs="Times New Roman"/>
          <w:noProof/>
          <w:sz w:val="24"/>
          <w:szCs w:val="24"/>
          <w:lang w:val="sl-SI"/>
        </w:rPr>
        <w:t xml:space="preserve"> </w:t>
      </w:r>
      <w:r w:rsidRPr="00DA6F5B">
        <w:rPr>
          <w:rFonts w:ascii="Times New Roman" w:hAnsi="Times New Roman" w:cs="Times New Roman"/>
          <w:noProof/>
          <w:sz w:val="24"/>
          <w:szCs w:val="24"/>
          <w:lang w:val="sl-SI"/>
        </w:rPr>
        <w:t>% pa to načrtuje</w:t>
      </w:r>
      <w:r w:rsidRPr="00DA6F5B">
        <w:rPr>
          <w:rStyle w:val="Sprotnaopomba-sklic"/>
          <w:rFonts w:ascii="Times New Roman" w:hAnsi="Times New Roman" w:cs="Times New Roman"/>
          <w:noProof/>
          <w:sz w:val="24"/>
          <w:szCs w:val="24"/>
          <w:lang w:val="sl-SI"/>
        </w:rPr>
        <w:footnoteReference w:id="16"/>
      </w:r>
      <w:r w:rsidRPr="00DA6F5B">
        <w:rPr>
          <w:rFonts w:ascii="Times New Roman" w:hAnsi="Times New Roman" w:cs="Times New Roman"/>
          <w:noProof/>
          <w:sz w:val="24"/>
          <w:szCs w:val="24"/>
          <w:lang w:val="sl-SI"/>
        </w:rPr>
        <w:t xml:space="preserve">. </w:t>
      </w:r>
    </w:p>
    <w:p w14:paraId="6CD50636" w14:textId="612F441B" w:rsidR="00E335F1" w:rsidRPr="00DA6F5B" w:rsidRDefault="00E335F1" w:rsidP="00E335F1">
      <w:pPr>
        <w:pStyle w:val="Odstavekseznama"/>
        <w:keepNext/>
        <w:numPr>
          <w:ilvl w:val="0"/>
          <w:numId w:val="2"/>
        </w:numPr>
        <w:pBdr>
          <w:top w:val="nil"/>
          <w:left w:val="nil"/>
          <w:bottom w:val="nil"/>
          <w:right w:val="nil"/>
          <w:between w:val="nil"/>
          <w:bar w:val="nil"/>
        </w:pBdr>
        <w:ind w:left="0" w:firstLine="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rPr>
        <w:t>Ta proces 'razvozlanja' izobraževalnih vsebin v manjše komponente je bil povezan z razvojem v glasbeni industriji, s premikom iz prodaje albumov na prodajo pes</w:t>
      </w:r>
      <w:r w:rsidR="00357DDF" w:rsidRPr="00DA6F5B">
        <w:rPr>
          <w:rFonts w:ascii="Times New Roman" w:hAnsi="Times New Roman" w:cs="Times New Roman"/>
          <w:noProof/>
          <w:sz w:val="24"/>
          <w:szCs w:val="24"/>
          <w:lang w:val="sl-SI"/>
        </w:rPr>
        <w:t>mi</w:t>
      </w:r>
      <w:r w:rsidRPr="00DA6F5B">
        <w:rPr>
          <w:rFonts w:ascii="Times New Roman" w:hAnsi="Times New Roman" w:cs="Times New Roman"/>
          <w:noProof/>
          <w:sz w:val="24"/>
          <w:szCs w:val="24"/>
          <w:lang w:val="sl-SI"/>
        </w:rPr>
        <w:t>. Oblikovane kratke tečaje lahko enosta</w:t>
      </w:r>
      <w:r w:rsidR="00357DDF" w:rsidRPr="00DA6F5B">
        <w:rPr>
          <w:rFonts w:ascii="Times New Roman" w:hAnsi="Times New Roman" w:cs="Times New Roman"/>
          <w:noProof/>
          <w:sz w:val="24"/>
          <w:szCs w:val="24"/>
          <w:lang w:val="sl-SI"/>
        </w:rPr>
        <w:t>v</w:t>
      </w:r>
      <w:r w:rsidRPr="00DA6F5B">
        <w:rPr>
          <w:rFonts w:ascii="Times New Roman" w:hAnsi="Times New Roman" w:cs="Times New Roman"/>
          <w:noProof/>
          <w:sz w:val="24"/>
          <w:szCs w:val="24"/>
          <w:lang w:val="sl-SI"/>
        </w:rPr>
        <w:t>nejše spre</w:t>
      </w:r>
      <w:r w:rsidR="00357DDF" w:rsidRPr="00DA6F5B">
        <w:rPr>
          <w:rFonts w:ascii="Times New Roman" w:hAnsi="Times New Roman" w:cs="Times New Roman"/>
          <w:noProof/>
          <w:sz w:val="24"/>
          <w:szCs w:val="24"/>
          <w:lang w:val="sl-SI"/>
        </w:rPr>
        <w:t>j</w:t>
      </w:r>
      <w:r w:rsidRPr="00DA6F5B">
        <w:rPr>
          <w:rFonts w:ascii="Times New Roman" w:hAnsi="Times New Roman" w:cs="Times New Roman"/>
          <w:noProof/>
          <w:sz w:val="24"/>
          <w:szCs w:val="24"/>
          <w:lang w:val="sl-SI"/>
        </w:rPr>
        <w:t>mejo in absorbirajo osebe v delovnih razmerjih, pogosto so sredstvo vseživljenjskega učenja (izobraženih) posameznikov, ki so bodisi brezposelni bodisi imajo nižje dohodke. Kakorkoli, sploh ni jasno, v katerem obsegu lahko takšne ureditve nadomeščajo izkušnjo tri- ali štiriletne diplome za večino študentov. Še več, ostajajo vprašanja o optimalni vlogi visokošolskih institucij pri zagotavljanju online tečajev. Medtem ko visokošolske institucije z njihovo akademsko zgodovino še vedno vidimo kot potrebne za zagotovitev kakovosti tečajev v večini primerov, ni vedno enostavno povezati dinamiko hitro se spreminjajočega online predvidevanje z obstoječimi strukturami za zagotvaljanje dodiplomskih in magistrskih programov na kampusih. Tako to ostaja še nastajajoče področje.</w:t>
      </w:r>
    </w:p>
    <w:p w14:paraId="435C36E9" w14:textId="77777777" w:rsidR="00E335F1" w:rsidRPr="00DA6F5B" w:rsidRDefault="00E335F1" w:rsidP="00E335F1">
      <w:pPr>
        <w:pStyle w:val="Naslov3"/>
        <w:spacing w:after="240"/>
        <w:rPr>
          <w:rFonts w:ascii="Times New Roman" w:hAnsi="Times New Roman" w:cs="Times New Roman"/>
          <w:noProof/>
          <w:color w:val="auto"/>
          <w:sz w:val="24"/>
          <w:szCs w:val="24"/>
          <w:lang w:val="sl-SI"/>
        </w:rPr>
      </w:pPr>
      <w:bookmarkStart w:id="1" w:name="_Toc481574538"/>
      <w:r w:rsidRPr="00DA6F5B">
        <w:rPr>
          <w:rFonts w:ascii="Times New Roman" w:hAnsi="Times New Roman" w:cs="Times New Roman"/>
          <w:noProof/>
          <w:color w:val="auto"/>
          <w:sz w:val="24"/>
          <w:szCs w:val="24"/>
          <w:lang w:val="sl-SI"/>
        </w:rPr>
        <w:t>3.2.4</w:t>
      </w:r>
      <w:r w:rsidRPr="00DA6F5B">
        <w:rPr>
          <w:rFonts w:ascii="Times New Roman" w:hAnsi="Times New Roman" w:cs="Times New Roman"/>
          <w:noProof/>
          <w:color w:val="auto"/>
          <w:sz w:val="24"/>
          <w:szCs w:val="24"/>
          <w:lang w:val="sl-SI"/>
        </w:rPr>
        <w:tab/>
        <w:t>Podpora visokošolskim učiteljem</w:t>
      </w:r>
      <w:bookmarkEnd w:id="1"/>
    </w:p>
    <w:p w14:paraId="43B354B2" w14:textId="6E340D48" w:rsidR="00E335F1" w:rsidRPr="00DA6F5B" w:rsidRDefault="00E335F1" w:rsidP="00E335F1">
      <w:pPr>
        <w:pStyle w:val="Odstavekseznama"/>
        <w:keepNext/>
        <w:numPr>
          <w:ilvl w:val="0"/>
          <w:numId w:val="2"/>
        </w:numPr>
        <w:pBdr>
          <w:top w:val="nil"/>
          <w:left w:val="nil"/>
          <w:bottom w:val="nil"/>
          <w:right w:val="nil"/>
          <w:between w:val="nil"/>
          <w:bar w:val="nil"/>
        </w:pBdr>
        <w:ind w:left="0" w:firstLine="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rPr>
        <w:t xml:space="preserve">Sprememba izvedbe učenja in poučevanja zahteva predano in obveščeno učno osebje. Nekatere države in/ali posamične visokošolske institucije ustanavljajo nacionalne agencije za podporo institucij in osebja pri izboljšanju uporabe tehnologij za izboljšanje oblikovanja njihovih tečajev, njihovih poučevalnih spretnosti in ocenjevanja. Primeri vključujejo Higher Education Academy v VB, SURF na Nizozemskem in PULS Pedagogical Development Centre na Norveškem. Hkrati pa nacionalne oblasti vedno bolj zahtevajo od visokošolskih učiteljev, </w:t>
      </w:r>
      <w:r w:rsidR="00DA6F5B" w:rsidRPr="00DA6F5B">
        <w:rPr>
          <w:rFonts w:ascii="Times New Roman" w:hAnsi="Times New Roman" w:cs="Times New Roman"/>
          <w:noProof/>
          <w:sz w:val="24"/>
          <w:szCs w:val="24"/>
          <w:lang w:val="sl-SI" w:eastAsia="sl-SI"/>
        </w:rPr>
        <mc:AlternateContent>
          <mc:Choice Requires="wps">
            <w:drawing>
              <wp:anchor distT="0" distB="0" distL="114300" distR="114300" simplePos="0" relativeHeight="251662336" behindDoc="0" locked="0" layoutInCell="1" allowOverlap="1" wp14:anchorId="6FC46E66" wp14:editId="794CCC26">
                <wp:simplePos x="0" y="0"/>
                <wp:positionH relativeFrom="column">
                  <wp:posOffset>-40640</wp:posOffset>
                </wp:positionH>
                <wp:positionV relativeFrom="paragraph">
                  <wp:posOffset>1025525</wp:posOffset>
                </wp:positionV>
                <wp:extent cx="5900420" cy="1403985"/>
                <wp:effectExtent l="0" t="0" r="2413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03985"/>
                        </a:xfrm>
                        <a:prstGeom prst="rect">
                          <a:avLst/>
                        </a:prstGeom>
                        <a:solidFill>
                          <a:schemeClr val="tx2">
                            <a:lumMod val="20000"/>
                            <a:lumOff val="80000"/>
                          </a:schemeClr>
                        </a:solidFill>
                        <a:ln w="9525">
                          <a:solidFill>
                            <a:srgbClr val="000000"/>
                          </a:solidFill>
                          <a:miter lim="800000"/>
                          <a:headEnd/>
                          <a:tailEnd/>
                        </a:ln>
                      </wps:spPr>
                      <wps:txbx>
                        <w:txbxContent>
                          <w:p w14:paraId="7210DA04" w14:textId="77777777" w:rsidR="00E335F1" w:rsidRDefault="00E335F1" w:rsidP="00E335F1">
                            <w:pPr>
                              <w:rPr>
                                <w:rFonts w:cs="Arial"/>
                                <w:b/>
                              </w:rPr>
                            </w:pPr>
                            <w:r>
                              <w:rPr>
                                <w:rFonts w:cs="Arial"/>
                                <w:b/>
                              </w:rPr>
                              <w:t>HIGHER EDUCATION ACADEMY (UK)</w:t>
                            </w:r>
                          </w:p>
                          <w:p w14:paraId="0B88CF1B" w14:textId="058302DD" w:rsidR="00E335F1" w:rsidRPr="00DA6F5B" w:rsidRDefault="00E335F1" w:rsidP="00E335F1">
                            <w:pPr>
                              <w:rPr>
                                <w:rFonts w:cs="Arial"/>
                                <w:lang w:val="sl-SI"/>
                              </w:rPr>
                            </w:pPr>
                            <w:r w:rsidRPr="00DA6F5B">
                              <w:rPr>
                                <w:rFonts w:cs="Arial"/>
                                <w:lang w:val="sl-SI"/>
                              </w:rPr>
                              <w:t>V VB, Higher Education Academy up</w:t>
                            </w:r>
                            <w:r w:rsidR="0072510E" w:rsidRPr="00DA6F5B">
                              <w:rPr>
                                <w:rFonts w:cs="Arial"/>
                                <w:lang w:val="sl-SI"/>
                              </w:rPr>
                              <w:t>r</w:t>
                            </w:r>
                            <w:r w:rsidRPr="00DA6F5B">
                              <w:rPr>
                                <w:rFonts w:cs="Arial"/>
                                <w:lang w:val="sl-SI"/>
                              </w:rPr>
                              <w:t>avlja shemo štipendij, ki od posemeznega učnega osebja zahteva izdelavo portfelja dokazane reflektivne prakse, ki prikazuje doseganje kompetenc, opredeljenih v Nacionalnem okvirju poklicnih kvalifikacij. Univerze morajo poročati število osebja, ki ima to akreditacijo. Medtem ko ni formalne zahteve za to akreditacijo, mnoge institucije zahtevajo od osebja, da doseže akreditacijo hitro po zaposlitvi oz. imenovanju.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46E66" id="_x0000_s1027" type="#_x0000_t202" style="position:absolute;left:0;text-align:left;margin-left:-3.2pt;margin-top:80.75pt;width:464.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" fillcolor="#d5dce4 [671]">
                <v:textbox style="mso-fit-shape-to-text:t">
                  <w:txbxContent>
                    <w:p w14:paraId="7210DA04" w14:textId="77777777" w:rsidR="00E335F1" w:rsidRDefault="00E335F1" w:rsidP="00E335F1">
                      <w:pPr>
                        <w:rPr>
                          <w:rFonts w:cs="Arial"/>
                          <w:b/>
                        </w:rPr>
                      </w:pPr>
                      <w:r>
                        <w:rPr>
                          <w:rFonts w:cs="Arial"/>
                          <w:b/>
                        </w:rPr>
                        <w:t>HIGHER EDUCATION ACADEMY (UK)</w:t>
                      </w:r>
                    </w:p>
                    <w:p w14:paraId="0B88CF1B" w14:textId="058302DD" w:rsidR="00E335F1" w:rsidRPr="00DA6F5B" w:rsidRDefault="00E335F1" w:rsidP="00E335F1">
                      <w:pPr>
                        <w:rPr>
                          <w:rFonts w:cs="Arial"/>
                          <w:lang w:val="sl-SI"/>
                        </w:rPr>
                      </w:pPr>
                      <w:r w:rsidRPr="00DA6F5B">
                        <w:rPr>
                          <w:rFonts w:cs="Arial"/>
                          <w:lang w:val="sl-SI"/>
                        </w:rPr>
                        <w:t>V VB, Higher Education Academy up</w:t>
                      </w:r>
                      <w:r w:rsidR="0072510E" w:rsidRPr="00DA6F5B">
                        <w:rPr>
                          <w:rFonts w:cs="Arial"/>
                          <w:lang w:val="sl-SI"/>
                        </w:rPr>
                        <w:t>r</w:t>
                      </w:r>
                      <w:r w:rsidRPr="00DA6F5B">
                        <w:rPr>
                          <w:rFonts w:cs="Arial"/>
                          <w:lang w:val="sl-SI"/>
                        </w:rPr>
                        <w:t>avlja shemo štipendij, ki od posemeznega učnega osebja zahteva izdelavo portfelja dokazane reflektivne prakse, ki prikazuje doseganje kompetenc, opredeljenih v Nacionalnem okvirju poklicnih kvalifikacij. Univerze morajo poročati število osebja, ki ima to akreditacijo. Medtem ko ni formalne zahteve za to akreditacijo, mnoge institucije zahtevajo od osebja, da doseže akreditacijo hitro po zaposlitvi oz. imenovanju.</w:t>
                      </w:r>
                    </w:p>
                  </w:txbxContent>
                </v:textbox>
                <w10:wrap type="square"/>
              </v:shape>
            </w:pict>
          </mc:Fallback>
        </mc:AlternateContent>
      </w:r>
      <w:r w:rsidRPr="00DA6F5B">
        <w:rPr>
          <w:rFonts w:ascii="Times New Roman" w:hAnsi="Times New Roman" w:cs="Times New Roman"/>
          <w:noProof/>
          <w:sz w:val="24"/>
          <w:szCs w:val="24"/>
          <w:lang w:val="sl-SI"/>
        </w:rPr>
        <w:t>da imajo specifične poučevalne kvalifikacije.</w:t>
      </w:r>
    </w:p>
    <w:p w14:paraId="51C51884" w14:textId="66C6A851" w:rsidR="00E335F1" w:rsidRPr="00DA6F5B" w:rsidRDefault="00E335F1" w:rsidP="00E335F1">
      <w:pPr>
        <w:pStyle w:val="Odstavekseznama"/>
        <w:keepNext/>
        <w:pBdr>
          <w:top w:val="nil"/>
          <w:left w:val="nil"/>
          <w:bottom w:val="nil"/>
          <w:right w:val="nil"/>
          <w:between w:val="nil"/>
          <w:bar w:val="nil"/>
        </w:pBdr>
        <w:ind w:left="0"/>
        <w:contextualSpacing w:val="0"/>
        <w:jc w:val="both"/>
        <w:rPr>
          <w:rFonts w:ascii="Times New Roman" w:hAnsi="Times New Roman" w:cs="Times New Roman"/>
          <w:noProof/>
          <w:sz w:val="24"/>
          <w:szCs w:val="24"/>
          <w:lang w:val="sl-SI"/>
        </w:rPr>
      </w:pPr>
    </w:p>
    <w:p w14:paraId="114A505B" w14:textId="7C550803" w:rsidR="00E335F1" w:rsidRPr="00DA6F5B" w:rsidRDefault="00E335F1" w:rsidP="00E335F1">
      <w:pPr>
        <w:pStyle w:val="Odstavekseznama"/>
        <w:numPr>
          <w:ilvl w:val="0"/>
          <w:numId w:val="2"/>
        </w:numPr>
        <w:pBdr>
          <w:top w:val="nil"/>
          <w:left w:val="nil"/>
          <w:bottom w:val="nil"/>
          <w:right w:val="nil"/>
          <w:between w:val="nil"/>
          <w:bar w:val="nil"/>
        </w:pBdr>
        <w:ind w:left="0" w:firstLine="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rPr>
        <w:t>Kakovostno poučevanje zajema učinkovito oblikovanje kurikuluma in vsebin tečajev, raznolikost učnih kontekstov (vključno z vodenim neodvisnim študijem, projektn</w:t>
      </w:r>
      <w:r w:rsidR="00E516F3" w:rsidRPr="00DA6F5B">
        <w:rPr>
          <w:rFonts w:ascii="Times New Roman" w:hAnsi="Times New Roman" w:cs="Times New Roman"/>
          <w:noProof/>
          <w:sz w:val="24"/>
          <w:szCs w:val="24"/>
          <w:lang w:val="sl-SI"/>
        </w:rPr>
        <w:t>im</w:t>
      </w:r>
      <w:r w:rsidRPr="00DA6F5B">
        <w:rPr>
          <w:rFonts w:ascii="Times New Roman" w:hAnsi="Times New Roman" w:cs="Times New Roman"/>
          <w:noProof/>
          <w:sz w:val="24"/>
          <w:szCs w:val="24"/>
          <w:lang w:val="sl-SI"/>
        </w:rPr>
        <w:t xml:space="preserve"> učen</w:t>
      </w:r>
      <w:r w:rsidR="00E516F3" w:rsidRPr="00DA6F5B">
        <w:rPr>
          <w:rFonts w:ascii="Times New Roman" w:hAnsi="Times New Roman" w:cs="Times New Roman"/>
          <w:noProof/>
          <w:sz w:val="24"/>
          <w:szCs w:val="24"/>
          <w:lang w:val="sl-SI"/>
        </w:rPr>
        <w:t>jem</w:t>
      </w:r>
      <w:r w:rsidRPr="00DA6F5B">
        <w:rPr>
          <w:rFonts w:ascii="Times New Roman" w:hAnsi="Times New Roman" w:cs="Times New Roman"/>
          <w:noProof/>
          <w:sz w:val="24"/>
          <w:szCs w:val="24"/>
          <w:lang w:val="sl-SI"/>
        </w:rPr>
        <w:t>, sodelujoč</w:t>
      </w:r>
      <w:r w:rsidR="00E516F3" w:rsidRPr="00DA6F5B">
        <w:rPr>
          <w:rFonts w:ascii="Times New Roman" w:hAnsi="Times New Roman" w:cs="Times New Roman"/>
          <w:noProof/>
          <w:sz w:val="24"/>
          <w:szCs w:val="24"/>
          <w:lang w:val="sl-SI"/>
        </w:rPr>
        <w:t>im</w:t>
      </w:r>
      <w:r w:rsidRPr="00DA6F5B">
        <w:rPr>
          <w:rFonts w:ascii="Times New Roman" w:hAnsi="Times New Roman" w:cs="Times New Roman"/>
          <w:noProof/>
          <w:sz w:val="24"/>
          <w:szCs w:val="24"/>
          <w:lang w:val="sl-SI"/>
        </w:rPr>
        <w:t xml:space="preserve"> učen</w:t>
      </w:r>
      <w:r w:rsidR="00E516F3" w:rsidRPr="00DA6F5B">
        <w:rPr>
          <w:rFonts w:ascii="Times New Roman" w:hAnsi="Times New Roman" w:cs="Times New Roman"/>
          <w:noProof/>
          <w:sz w:val="24"/>
          <w:szCs w:val="24"/>
          <w:lang w:val="sl-SI"/>
        </w:rPr>
        <w:t>jem</w:t>
      </w:r>
      <w:r w:rsidRPr="00DA6F5B">
        <w:rPr>
          <w:rFonts w:ascii="Times New Roman" w:hAnsi="Times New Roman" w:cs="Times New Roman"/>
          <w:noProof/>
          <w:sz w:val="24"/>
          <w:szCs w:val="24"/>
          <w:lang w:val="sl-SI"/>
        </w:rPr>
        <w:t>, eksperimentalnim učenjem itn.), podajanje in uporaba povratne informacije in učinkovito ocenjevanje učnih izidov. Prav tako vključuje dobro uveljavljena učna okolja in službe za podporo študentom. Poročilo High Level Group on the Modernisation of Higher Education z junija 2013</w:t>
      </w:r>
      <w:r w:rsidRPr="00DA6F5B">
        <w:rPr>
          <w:rFonts w:ascii="Times New Roman" w:hAnsi="Times New Roman" w:cs="Times New Roman"/>
          <w:noProof/>
          <w:sz w:val="24"/>
          <w:szCs w:val="24"/>
          <w:vertAlign w:val="superscript"/>
          <w:lang w:val="sl-SI"/>
        </w:rPr>
        <w:footnoteReference w:id="17"/>
      </w:r>
      <w:r w:rsidRPr="00DA6F5B">
        <w:rPr>
          <w:rFonts w:ascii="Times New Roman" w:hAnsi="Times New Roman" w:cs="Times New Roman"/>
          <w:noProof/>
          <w:sz w:val="24"/>
          <w:szCs w:val="24"/>
          <w:lang w:val="sl-SI"/>
        </w:rPr>
        <w:t xml:space="preserve"> je poudarilo pomen jasnih strategij za podporo dobrega poučevanja na institucionaln</w:t>
      </w:r>
      <w:r w:rsidR="00E516F3" w:rsidRPr="00DA6F5B">
        <w:rPr>
          <w:rFonts w:ascii="Times New Roman" w:hAnsi="Times New Roman" w:cs="Times New Roman"/>
          <w:noProof/>
          <w:sz w:val="24"/>
          <w:szCs w:val="24"/>
          <w:lang w:val="sl-SI"/>
        </w:rPr>
        <w:t xml:space="preserve">i </w:t>
      </w:r>
      <w:r w:rsidRPr="00DA6F5B">
        <w:rPr>
          <w:rFonts w:ascii="Times New Roman" w:hAnsi="Times New Roman" w:cs="Times New Roman"/>
          <w:noProof/>
          <w:sz w:val="24"/>
          <w:szCs w:val="24"/>
          <w:lang w:val="sl-SI"/>
        </w:rPr>
        <w:t>ravni znotraj visokošolskih institucij in ustreznega vlaganja v neprekinjen strokovni razvoj osebja. Projekt Erasmus+, ki ga je vodil European University Association, je trenutno na ocenjevanju izvedljivosti dodatnega sodelovanja na evropski ravni, za podporo pospeševanja izobraževanja v visokem šolstvu</w:t>
      </w:r>
      <w:r w:rsidRPr="00DA6F5B">
        <w:rPr>
          <w:rStyle w:val="Sprotnaopomba-sklic"/>
          <w:rFonts w:ascii="Times New Roman" w:hAnsi="Times New Roman" w:cs="Times New Roman"/>
          <w:noProof/>
          <w:sz w:val="24"/>
          <w:szCs w:val="24"/>
          <w:lang w:val="sl-SI"/>
        </w:rPr>
        <w:footnoteReference w:id="18"/>
      </w:r>
      <w:r w:rsidRPr="00DA6F5B">
        <w:rPr>
          <w:rFonts w:ascii="Times New Roman" w:hAnsi="Times New Roman" w:cs="Times New Roman"/>
          <w:noProof/>
          <w:sz w:val="24"/>
          <w:szCs w:val="24"/>
          <w:lang w:val="sl-SI"/>
        </w:rPr>
        <w:t xml:space="preserve">. </w:t>
      </w:r>
    </w:p>
    <w:p w14:paraId="6AF962B6" w14:textId="77777777" w:rsidR="00E335F1" w:rsidRPr="00DA6F5B" w:rsidRDefault="00E335F1" w:rsidP="00E335F1">
      <w:pPr>
        <w:pStyle w:val="Odstavekseznama"/>
        <w:pBdr>
          <w:top w:val="nil"/>
          <w:left w:val="nil"/>
          <w:bottom w:val="nil"/>
          <w:right w:val="nil"/>
          <w:between w:val="nil"/>
          <w:bar w:val="nil"/>
        </w:pBdr>
        <w:ind w:left="0"/>
        <w:contextualSpacing w:val="0"/>
        <w:jc w:val="both"/>
        <w:rPr>
          <w:rFonts w:ascii="Times New Roman" w:hAnsi="Times New Roman" w:cs="Times New Roman"/>
          <w:noProof/>
          <w:sz w:val="24"/>
          <w:szCs w:val="24"/>
          <w:lang w:val="sl-SI"/>
        </w:rPr>
      </w:pPr>
    </w:p>
    <w:p w14:paraId="7C4CCE09" w14:textId="77777777" w:rsidR="00E335F1" w:rsidRPr="00DA6F5B" w:rsidRDefault="00E335F1" w:rsidP="00E335F1">
      <w:pPr>
        <w:pStyle w:val="Odstavekseznama"/>
        <w:pBdr>
          <w:top w:val="nil"/>
          <w:left w:val="nil"/>
          <w:bottom w:val="nil"/>
          <w:right w:val="nil"/>
          <w:between w:val="nil"/>
          <w:bar w:val="nil"/>
        </w:pBdr>
        <w:ind w:left="0"/>
        <w:contextualSpacing w:val="0"/>
        <w:jc w:val="both"/>
        <w:rPr>
          <w:rFonts w:ascii="Times New Roman" w:hAnsi="Times New Roman" w:cs="Times New Roman"/>
          <w:noProof/>
          <w:sz w:val="24"/>
          <w:szCs w:val="24"/>
          <w:lang w:val="sl-SI"/>
        </w:rPr>
      </w:pPr>
    </w:p>
    <w:p w14:paraId="29891B18" w14:textId="77777777" w:rsidR="00E335F1" w:rsidRPr="00DA6F5B" w:rsidRDefault="00E335F1" w:rsidP="00E335F1">
      <w:pPr>
        <w:pStyle w:val="Odstavekseznama"/>
        <w:pBdr>
          <w:top w:val="nil"/>
          <w:left w:val="nil"/>
          <w:bottom w:val="nil"/>
          <w:right w:val="nil"/>
          <w:between w:val="nil"/>
          <w:bar w:val="nil"/>
        </w:pBdr>
        <w:ind w:left="0"/>
        <w:contextualSpacing w:val="0"/>
        <w:jc w:val="both"/>
        <w:rPr>
          <w:rFonts w:ascii="Times New Roman" w:hAnsi="Times New Roman" w:cs="Times New Roman"/>
          <w:noProof/>
          <w:sz w:val="24"/>
          <w:szCs w:val="24"/>
          <w:lang w:val="sl-SI"/>
        </w:rPr>
      </w:pPr>
    </w:p>
    <w:p w14:paraId="0BE129E2" w14:textId="77777777" w:rsidR="00E335F1" w:rsidRPr="00DA6F5B" w:rsidRDefault="00E335F1" w:rsidP="00E335F1">
      <w:pPr>
        <w:pStyle w:val="Odstavekseznama"/>
        <w:pBdr>
          <w:top w:val="nil"/>
          <w:left w:val="nil"/>
          <w:bottom w:val="nil"/>
          <w:right w:val="nil"/>
          <w:between w:val="nil"/>
          <w:bar w:val="nil"/>
        </w:pBdr>
        <w:ind w:left="0"/>
        <w:contextualSpacing w:val="0"/>
        <w:jc w:val="both"/>
        <w:rPr>
          <w:rFonts w:ascii="Times New Roman" w:hAnsi="Times New Roman" w:cs="Times New Roman"/>
          <w:noProof/>
          <w:sz w:val="24"/>
          <w:szCs w:val="24"/>
          <w:lang w:val="sl-SI"/>
        </w:rPr>
      </w:pPr>
    </w:p>
    <w:p w14:paraId="5810857D" w14:textId="77777777" w:rsidR="00E335F1" w:rsidRPr="00DA6F5B" w:rsidRDefault="00E335F1" w:rsidP="00E335F1">
      <w:pPr>
        <w:pStyle w:val="Odstavekseznama"/>
        <w:pBdr>
          <w:top w:val="nil"/>
          <w:left w:val="nil"/>
          <w:bottom w:val="nil"/>
          <w:right w:val="nil"/>
          <w:between w:val="nil"/>
          <w:bar w:val="nil"/>
        </w:pBdr>
        <w:ind w:left="0"/>
        <w:contextualSpacing w:val="0"/>
        <w:jc w:val="both"/>
        <w:rPr>
          <w:rFonts w:ascii="Times New Roman" w:hAnsi="Times New Roman" w:cs="Times New Roman"/>
          <w:noProof/>
          <w:sz w:val="24"/>
          <w:szCs w:val="24"/>
          <w:lang w:val="sl-SI"/>
        </w:rPr>
      </w:pPr>
      <w:r w:rsidRPr="00DA6F5B">
        <w:rPr>
          <w:rFonts w:ascii="Times New Roman" w:hAnsi="Times New Roman" w:cs="Times New Roman"/>
          <w:noProof/>
          <w:sz w:val="24"/>
          <w:szCs w:val="24"/>
          <w:lang w:val="sl-SI" w:eastAsia="sl-SI"/>
        </w:rPr>
        <mc:AlternateContent>
          <mc:Choice Requires="wps">
            <w:drawing>
              <wp:anchor distT="0" distB="0" distL="114300" distR="114300" simplePos="0" relativeHeight="251661312" behindDoc="0" locked="0" layoutInCell="1" allowOverlap="1" wp14:anchorId="7F10FF3E" wp14:editId="4A1CD945">
                <wp:simplePos x="0" y="0"/>
                <wp:positionH relativeFrom="column">
                  <wp:align>center</wp:align>
                </wp:positionH>
                <wp:positionV relativeFrom="paragraph">
                  <wp:posOffset>0</wp:posOffset>
                </wp:positionV>
                <wp:extent cx="5976620" cy="2709545"/>
                <wp:effectExtent l="0" t="0" r="2413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709545"/>
                        </a:xfrm>
                        <a:prstGeom prst="rect">
                          <a:avLst/>
                        </a:prstGeom>
                        <a:solidFill>
                          <a:schemeClr val="tx2">
                            <a:lumMod val="20000"/>
                            <a:lumOff val="80000"/>
                          </a:schemeClr>
                        </a:solidFill>
                        <a:ln w="9525">
                          <a:solidFill>
                            <a:srgbClr val="000000"/>
                          </a:solidFill>
                          <a:miter lim="800000"/>
                          <a:headEnd/>
                          <a:tailEnd/>
                        </a:ln>
                      </wps:spPr>
                      <wps:txbx>
                        <w:txbxContent>
                          <w:p w14:paraId="6D99629E" w14:textId="77777777" w:rsidR="00E335F1" w:rsidRDefault="00E335F1" w:rsidP="00E335F1">
                            <w:pPr>
                              <w:rPr>
                                <w:b/>
                              </w:rPr>
                            </w:pPr>
                            <w:r>
                              <w:rPr>
                                <w:b/>
                              </w:rPr>
                              <w:t>EVROPSKI FORUM ZA POSPEŠENO SODELOVANJE PRI POUČEVANJU - EFFECT (2015-18)</w:t>
                            </w:r>
                          </w:p>
                          <w:p w14:paraId="3069491A" w14:textId="77777777" w:rsidR="00E335F1" w:rsidRPr="00DA6F5B" w:rsidRDefault="00E335F1" w:rsidP="00E335F1">
                            <w:pPr>
                              <w:rPr>
                                <w:lang w:val="sl-SI"/>
                              </w:rPr>
                            </w:pPr>
                            <w:r w:rsidRPr="00DA6F5B">
                              <w:rPr>
                                <w:lang w:val="sl-SI"/>
                              </w:rPr>
                              <w:t>Projekt je osredotočen v sledeče medsebojno povezane cilje: a) poenostavitev izmenjave in sodelovanja med evropskimi dejavniki in deležniki za pospeševanje izobraževanja v visokem šolstvu; b) identificiranje dobrih praks in razvoj novih in inovativnih pristopov k pospeševanju učenja in poučevanja; c) podpora institucijam pri razvoju strteških pristopov posšeševanju učenja in poučevanja in d) razvoj modela trajnostne evropske strukture za pospeševanje učenja in poučevanja</w:t>
                            </w:r>
                          </w:p>
                          <w:p w14:paraId="52262E1B" w14:textId="15A9633D" w:rsidR="00E335F1" w:rsidRPr="00DA6F5B" w:rsidRDefault="00E335F1" w:rsidP="00E335F1">
                            <w:pPr>
                              <w:rPr>
                                <w:lang w:val="sl-SI"/>
                              </w:rPr>
                            </w:pPr>
                            <w:r w:rsidRPr="00DA6F5B">
                              <w:rPr>
                                <w:lang w:val="sl-SI"/>
                              </w:rPr>
                              <w:t>Projekt re</w:t>
                            </w:r>
                            <w:r w:rsidR="00DA6F5B">
                              <w:rPr>
                                <w:lang w:val="sl-SI"/>
                              </w:rPr>
                              <w:t>fl</w:t>
                            </w:r>
                            <w:r w:rsidRPr="00DA6F5B">
                              <w:rPr>
                                <w:lang w:val="sl-SI"/>
                              </w:rPr>
                              <w:t>ektira o različnih velikih izzivih za visokošolsko poučevanje, kot so naraščajoče število in bolj raznoliko študentsko telo; izpad in zaostajanje; povečanje priložnosti in lotevanje izzivov učenja na podlagi IKT; ali prepoznavanje odličnosti poučevanja in povezava</w:t>
                            </w:r>
                            <w:r w:rsidR="001B7CA7" w:rsidRPr="00DA6F5B">
                              <w:rPr>
                                <w:lang w:val="sl-SI"/>
                              </w:rPr>
                              <w:t xml:space="preserve"> le-</w:t>
                            </w:r>
                            <w:r w:rsidRPr="00DA6F5B">
                              <w:rPr>
                                <w:lang w:val="sl-SI"/>
                              </w:rPr>
                              <w:t xml:space="preserve"> te z uspehom študentov. Na podlagi pričakovanih izidov, bo lahko zagotovil priporočila za politi</w:t>
                            </w:r>
                            <w:r w:rsidR="00DA6F5B">
                              <w:rPr>
                                <w:lang w:val="sl-SI"/>
                              </w:rPr>
                              <w:t>k</w:t>
                            </w:r>
                            <w:r w:rsidRPr="00DA6F5B">
                              <w:rPr>
                                <w:lang w:val="sl-SI"/>
                              </w:rPr>
                              <w:t>o, z upoštevanjem evropske prespektive in s ciljem pospeševanja visokošolskega poučevanja.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10FF3E" id="_x0000_s1028" type="#_x0000_t202" style="position:absolute;left:0;text-align:left;margin-left:0;margin-top:0;width:470.6pt;height:213.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" fillcolor="#d5dce4 [671]">
                <v:textbox>
                  <w:txbxContent>
                    <w:p w14:paraId="6D99629E" w14:textId="77777777" w:rsidR="00E335F1" w:rsidRDefault="00E335F1" w:rsidP="00E335F1">
                      <w:pPr>
                        <w:rPr>
                          <w:b/>
                        </w:rPr>
                      </w:pPr>
                      <w:r>
                        <w:rPr>
                          <w:b/>
                        </w:rPr>
                        <w:t>EVROPSKI FORUM ZA POSPEŠENO SODELOVANJE PRI POUČEVANJU - EFFECT (2015-18)</w:t>
                      </w:r>
                    </w:p>
                    <w:p w14:paraId="3069491A" w14:textId="77777777" w:rsidR="00E335F1" w:rsidRPr="00DA6F5B" w:rsidRDefault="00E335F1" w:rsidP="00E335F1">
                      <w:pPr>
                        <w:rPr>
                          <w:lang w:val="sl-SI"/>
                        </w:rPr>
                      </w:pPr>
                      <w:r w:rsidRPr="00DA6F5B">
                        <w:rPr>
                          <w:lang w:val="sl-SI"/>
                        </w:rPr>
                        <w:t>Projekt je osredotočen v sledeče medsebojno povezane cilje: a) poenostavitev izmenjave in sodelovanja med evropskimi dejavniki in deležniki za pospeševanje izobraževanja v visokem šolstvu; b) identificiranje dobrih praks in razvoj novih in inovativnih pristopov k pospeševanju učenja in poučevanja; c) podpora institucijam pri razvoju strteških pristopov posšeševanju učenja in poučevanja in d) razvoj modela trajnostne evropske strukture za pospeševanje učenja in poučevanja</w:t>
                      </w:r>
                    </w:p>
                    <w:p w14:paraId="52262E1B" w14:textId="15A9633D" w:rsidR="00E335F1" w:rsidRPr="00DA6F5B" w:rsidRDefault="00E335F1" w:rsidP="00E335F1">
                      <w:pPr>
                        <w:rPr>
                          <w:lang w:val="sl-SI"/>
                        </w:rPr>
                      </w:pPr>
                      <w:r w:rsidRPr="00DA6F5B">
                        <w:rPr>
                          <w:lang w:val="sl-SI"/>
                        </w:rPr>
                        <w:t>Projekt re</w:t>
                      </w:r>
                      <w:r w:rsidR="00DA6F5B">
                        <w:rPr>
                          <w:lang w:val="sl-SI"/>
                        </w:rPr>
                        <w:t>fl</w:t>
                      </w:r>
                      <w:r w:rsidRPr="00DA6F5B">
                        <w:rPr>
                          <w:lang w:val="sl-SI"/>
                        </w:rPr>
                        <w:t>ektira o različnih velikih izzivih za visokošolsko poučevanje, kot so naraščajoče število in bolj raznoliko študentsko telo; izpad in zaostajanje; povečanje priložnosti in lotevanje izzivov učenja na podlagi IKT; ali prepoznavanje odličnosti poučevanja in povezava</w:t>
                      </w:r>
                      <w:r w:rsidR="001B7CA7" w:rsidRPr="00DA6F5B">
                        <w:rPr>
                          <w:lang w:val="sl-SI"/>
                        </w:rPr>
                        <w:t xml:space="preserve"> le-</w:t>
                      </w:r>
                      <w:r w:rsidRPr="00DA6F5B">
                        <w:rPr>
                          <w:lang w:val="sl-SI"/>
                        </w:rPr>
                        <w:t xml:space="preserve"> te z uspehom študentov. Na podlagi pričakovanih izidov, bo lahko zagotovil priporočila za politi</w:t>
                      </w:r>
                      <w:r w:rsidR="00DA6F5B">
                        <w:rPr>
                          <w:lang w:val="sl-SI"/>
                        </w:rPr>
                        <w:t>k</w:t>
                      </w:r>
                      <w:r w:rsidRPr="00DA6F5B">
                        <w:rPr>
                          <w:lang w:val="sl-SI"/>
                        </w:rPr>
                        <w:t>o, z upoštevanjem evropske prespektive in s ciljem pospeševanja visokošolskega poučevanja.</w:t>
                      </w:r>
                    </w:p>
                  </w:txbxContent>
                </v:textbox>
              </v:shape>
            </w:pict>
          </mc:Fallback>
        </mc:AlternateContent>
      </w:r>
    </w:p>
    <w:p w14:paraId="0CDDE3B4" w14:textId="77777777" w:rsidR="00E335F1" w:rsidRPr="00DA6F5B" w:rsidRDefault="00E335F1" w:rsidP="00E335F1">
      <w:pPr>
        <w:rPr>
          <w:rFonts w:ascii="Times New Roman" w:hAnsi="Times New Roman" w:cs="Times New Roman"/>
          <w:b/>
          <w:noProof/>
          <w:sz w:val="24"/>
          <w:szCs w:val="24"/>
          <w:lang w:val="sl-SI"/>
        </w:rPr>
      </w:pPr>
      <w:r w:rsidRPr="00DA6F5B">
        <w:rPr>
          <w:rFonts w:ascii="Times New Roman" w:hAnsi="Times New Roman" w:cs="Times New Roman"/>
          <w:b/>
          <w:noProof/>
          <w:sz w:val="24"/>
          <w:szCs w:val="24"/>
          <w:lang w:val="sl-SI"/>
        </w:rPr>
        <w:br w:type="page"/>
      </w:r>
    </w:p>
    <w:p w14:paraId="37753B52" w14:textId="77777777" w:rsidR="009D7218" w:rsidRPr="00DA6F5B" w:rsidRDefault="009D7218" w:rsidP="00E335F1">
      <w:pPr>
        <w:rPr>
          <w:lang w:val="sl-SI"/>
        </w:rPr>
      </w:pPr>
    </w:p>
    <w:sectPr w:rsidR="009D7218" w:rsidRPr="00DA6F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6572C" w14:textId="77777777" w:rsidR="008358D0" w:rsidRDefault="008358D0" w:rsidP="00E335F1">
      <w:pPr>
        <w:spacing w:after="0" w:line="240" w:lineRule="auto"/>
      </w:pPr>
      <w:r>
        <w:separator/>
      </w:r>
    </w:p>
  </w:endnote>
  <w:endnote w:type="continuationSeparator" w:id="0">
    <w:p w14:paraId="2A62BAA0" w14:textId="77777777" w:rsidR="008358D0" w:rsidRDefault="008358D0" w:rsidP="00E3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2849" w14:textId="77777777" w:rsidR="008358D0" w:rsidRDefault="008358D0" w:rsidP="00E335F1">
      <w:pPr>
        <w:spacing w:after="0" w:line="240" w:lineRule="auto"/>
      </w:pPr>
      <w:r>
        <w:separator/>
      </w:r>
    </w:p>
  </w:footnote>
  <w:footnote w:type="continuationSeparator" w:id="0">
    <w:p w14:paraId="7C7002C4" w14:textId="77777777" w:rsidR="008358D0" w:rsidRDefault="008358D0" w:rsidP="00E335F1">
      <w:pPr>
        <w:spacing w:after="0" w:line="240" w:lineRule="auto"/>
      </w:pPr>
      <w:r>
        <w:continuationSeparator/>
      </w:r>
    </w:p>
  </w:footnote>
  <w:footnote w:id="1">
    <w:p w14:paraId="3CD75229" w14:textId="77777777" w:rsidR="00E335F1" w:rsidRPr="00DA6F5B" w:rsidRDefault="00E335F1" w:rsidP="00E335F1">
      <w:pPr>
        <w:pStyle w:val="Sprotnaopomba-besedilo"/>
        <w:rPr>
          <w:rFonts w:ascii="Times New Roman" w:hAnsi="Times New Roman" w:cs="Times New Roman"/>
          <w:sz w:val="18"/>
          <w:szCs w:val="18"/>
          <w:lang w:val="sl-SI"/>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sidRPr="00DA6F5B">
        <w:rPr>
          <w:rFonts w:ascii="Times New Roman" w:hAnsi="Times New Roman" w:cs="Times New Roman"/>
          <w:sz w:val="18"/>
          <w:szCs w:val="18"/>
          <w:lang w:val="sl-SI"/>
        </w:rPr>
        <w:tab/>
        <w:t>Heywood, J; et al (2015)</w:t>
      </w:r>
    </w:p>
  </w:footnote>
  <w:footnote w:id="2">
    <w:p w14:paraId="2B77D1BA" w14:textId="77777777" w:rsidR="00E335F1" w:rsidRPr="00DA6F5B" w:rsidRDefault="00E335F1" w:rsidP="00E335F1">
      <w:pPr>
        <w:pStyle w:val="Sprotnaopomba-besedilo"/>
        <w:rPr>
          <w:rFonts w:ascii="Times New Roman" w:hAnsi="Times New Roman" w:cs="Times New Roman"/>
          <w:sz w:val="18"/>
          <w:szCs w:val="18"/>
          <w:lang w:val="sl-SI"/>
        </w:rPr>
      </w:pPr>
      <w:r w:rsidRPr="00DA6F5B">
        <w:rPr>
          <w:rStyle w:val="Sprotnaopomba-sklic"/>
          <w:rFonts w:ascii="Times New Roman" w:hAnsi="Times New Roman" w:cs="Times New Roman"/>
          <w:sz w:val="18"/>
          <w:szCs w:val="18"/>
          <w:lang w:val="sl-SI"/>
        </w:rPr>
        <w:footnoteRef/>
      </w:r>
      <w:r w:rsidRPr="00DA6F5B">
        <w:rPr>
          <w:rFonts w:ascii="Times New Roman" w:hAnsi="Times New Roman" w:cs="Times New Roman"/>
          <w:sz w:val="18"/>
          <w:szCs w:val="18"/>
          <w:lang w:val="sl-SI"/>
        </w:rPr>
        <w:t xml:space="preserve"> </w:t>
      </w:r>
      <w:r w:rsidRPr="00DA6F5B">
        <w:rPr>
          <w:rFonts w:ascii="Times New Roman" w:hAnsi="Times New Roman" w:cs="Times New Roman"/>
          <w:sz w:val="18"/>
          <w:szCs w:val="18"/>
          <w:lang w:val="sl-SI"/>
        </w:rPr>
        <w:tab/>
        <w:t>Med drugimi reformami, uvajanje strukturo treh ciklov in večje osredotočanje na rezultate učenja.</w:t>
      </w:r>
    </w:p>
  </w:footnote>
  <w:footnote w:id="3">
    <w:p w14:paraId="2EB59673" w14:textId="77777777" w:rsidR="00E335F1" w:rsidRPr="00DA6F5B" w:rsidRDefault="00E335F1" w:rsidP="00E335F1">
      <w:pPr>
        <w:pStyle w:val="Sprotnaopomba-besedilo"/>
        <w:ind w:left="720" w:hanging="720"/>
        <w:rPr>
          <w:rFonts w:ascii="Times New Roman" w:hAnsi="Times New Roman" w:cs="Times New Roman"/>
          <w:sz w:val="18"/>
          <w:szCs w:val="18"/>
          <w:lang w:val="sl-SI"/>
        </w:rPr>
      </w:pPr>
      <w:r w:rsidRPr="00DA6F5B">
        <w:rPr>
          <w:rStyle w:val="Sprotnaopomba-sklic"/>
          <w:rFonts w:ascii="Times New Roman" w:hAnsi="Times New Roman" w:cs="Times New Roman"/>
          <w:sz w:val="18"/>
          <w:szCs w:val="18"/>
          <w:lang w:val="sl-SI"/>
        </w:rPr>
        <w:footnoteRef/>
      </w:r>
      <w:r w:rsidRPr="00DA6F5B">
        <w:rPr>
          <w:rFonts w:ascii="Times New Roman" w:hAnsi="Times New Roman" w:cs="Times New Roman"/>
          <w:sz w:val="18"/>
          <w:szCs w:val="18"/>
          <w:lang w:val="sl-SI"/>
        </w:rPr>
        <w:t xml:space="preserve"> </w:t>
      </w:r>
      <w:r w:rsidRPr="00DA6F5B">
        <w:rPr>
          <w:rFonts w:ascii="Times New Roman" w:hAnsi="Times New Roman" w:cs="Times New Roman"/>
          <w:sz w:val="18"/>
          <w:szCs w:val="18"/>
          <w:lang w:val="sl-SI"/>
        </w:rPr>
        <w:tab/>
        <w:t>Mešano učenje je izobraževalni program (formalin ali neformalen), ki povezuje digitalne medije s tradicionalnimi metodami učilnic.</w:t>
      </w:r>
    </w:p>
  </w:footnote>
  <w:footnote w:id="4">
    <w:p w14:paraId="0759975E" w14:textId="77777777" w:rsidR="00E335F1" w:rsidRPr="00DA6F5B" w:rsidRDefault="00E335F1" w:rsidP="00E335F1">
      <w:pPr>
        <w:pStyle w:val="Sprotnaopomba-besedilo"/>
        <w:ind w:left="720" w:hanging="720"/>
        <w:rPr>
          <w:rFonts w:ascii="Times New Roman" w:hAnsi="Times New Roman" w:cs="Times New Roman"/>
          <w:sz w:val="18"/>
          <w:szCs w:val="18"/>
          <w:lang w:val="sl-SI"/>
        </w:rPr>
      </w:pPr>
      <w:r w:rsidRPr="00DA6F5B">
        <w:rPr>
          <w:rStyle w:val="Sprotnaopomba-sklic"/>
          <w:rFonts w:ascii="Times New Roman" w:hAnsi="Times New Roman" w:cs="Times New Roman"/>
          <w:sz w:val="18"/>
          <w:szCs w:val="18"/>
          <w:lang w:val="sl-SI"/>
        </w:rPr>
        <w:footnoteRef/>
      </w:r>
      <w:r w:rsidRPr="00DA6F5B">
        <w:rPr>
          <w:rFonts w:ascii="Times New Roman" w:hAnsi="Times New Roman" w:cs="Times New Roman"/>
          <w:sz w:val="18"/>
          <w:szCs w:val="18"/>
          <w:lang w:val="sl-SI"/>
        </w:rPr>
        <w:t xml:space="preserve"> </w:t>
      </w:r>
      <w:r w:rsidRPr="00DA6F5B">
        <w:rPr>
          <w:rFonts w:ascii="Times New Roman" w:hAnsi="Times New Roman" w:cs="Times New Roman"/>
          <w:sz w:val="18"/>
          <w:szCs w:val="18"/>
          <w:lang w:val="sl-SI"/>
        </w:rPr>
        <w:tab/>
        <w:t>Preobrnjena učilnica je strategija poučevanja, ki obrne tradicionalno učno okolje s podajanjem vsebine pouka, pogosto online, izven učilnice in s prenosom aktivnosti v učilnico.</w:t>
      </w:r>
    </w:p>
  </w:footnote>
  <w:footnote w:id="5">
    <w:p w14:paraId="13109F9B" w14:textId="77777777" w:rsidR="00E335F1" w:rsidRDefault="00E335F1" w:rsidP="00E335F1">
      <w:pPr>
        <w:pStyle w:val="Sprotnaopomba-besedilo"/>
        <w:ind w:left="720" w:hanging="720"/>
        <w:rPr>
          <w:rFonts w:ascii="Times New Roman" w:hAnsi="Times New Roman" w:cs="Times New Roman"/>
          <w:sz w:val="18"/>
          <w:szCs w:val="18"/>
        </w:rPr>
      </w:pPr>
      <w:r w:rsidRPr="00DA6F5B">
        <w:rPr>
          <w:rStyle w:val="Sprotnaopomba-sklic"/>
          <w:rFonts w:ascii="Times New Roman" w:hAnsi="Times New Roman" w:cs="Times New Roman"/>
          <w:sz w:val="18"/>
          <w:szCs w:val="18"/>
          <w:lang w:val="sl-SI"/>
        </w:rPr>
        <w:footnoteRef/>
      </w:r>
      <w:r w:rsidRPr="00DA6F5B">
        <w:rPr>
          <w:rFonts w:ascii="Times New Roman" w:hAnsi="Times New Roman" w:cs="Times New Roman"/>
          <w:sz w:val="18"/>
          <w:szCs w:val="18"/>
          <w:lang w:val="sl-SI"/>
        </w:rPr>
        <w:t xml:space="preserve"> </w:t>
      </w:r>
      <w:r w:rsidRPr="00DA6F5B">
        <w:rPr>
          <w:rFonts w:ascii="Times New Roman" w:hAnsi="Times New Roman" w:cs="Times New Roman"/>
          <w:sz w:val="18"/>
          <w:szCs w:val="18"/>
          <w:lang w:val="sl-SI"/>
        </w:rPr>
        <w:tab/>
        <w:t>Joint Research Centre (2016a)</w:t>
      </w:r>
    </w:p>
  </w:footnote>
  <w:footnote w:id="6">
    <w:p w14:paraId="7FC7C875" w14:textId="77777777" w:rsidR="00E335F1" w:rsidRDefault="00E335F1" w:rsidP="00E335F1">
      <w:pPr>
        <w:pStyle w:val="Sprotnaopomba-besedilo"/>
        <w:rPr>
          <w:rFonts w:ascii="Times New Roman" w:hAnsi="Times New Roman" w:cs="Times New Roman"/>
          <w:sz w:val="18"/>
          <w:szCs w:val="18"/>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Fung, D et al (2017)</w:t>
      </w:r>
    </w:p>
  </w:footnote>
  <w:footnote w:id="7">
    <w:p w14:paraId="2E6237D3" w14:textId="77777777" w:rsidR="00E335F1" w:rsidRDefault="00E335F1" w:rsidP="00E335F1">
      <w:pPr>
        <w:pStyle w:val="Sprotnaopomba-besedilo"/>
        <w:rPr>
          <w:rFonts w:ascii="Times New Roman" w:hAnsi="Times New Roman" w:cs="Times New Roman"/>
          <w:sz w:val="18"/>
          <w:szCs w:val="18"/>
          <w:lang w:val="nl-NL"/>
        </w:rPr>
      </w:pPr>
      <w:r>
        <w:rPr>
          <w:rStyle w:val="Sprotnaopomba-sklic"/>
          <w:rFonts w:ascii="Times New Roman" w:hAnsi="Times New Roman" w:cs="Times New Roman"/>
          <w:sz w:val="18"/>
          <w:szCs w:val="18"/>
        </w:rPr>
        <w:footnoteRef/>
      </w:r>
      <w:r>
        <w:rPr>
          <w:rFonts w:ascii="Times New Roman" w:hAnsi="Times New Roman" w:cs="Times New Roman"/>
          <w:sz w:val="18"/>
          <w:szCs w:val="18"/>
          <w:lang w:val="nl-NL"/>
        </w:rPr>
        <w:t xml:space="preserve"> </w:t>
      </w:r>
      <w:r>
        <w:rPr>
          <w:rFonts w:ascii="Times New Roman" w:hAnsi="Times New Roman" w:cs="Times New Roman"/>
          <w:sz w:val="18"/>
          <w:szCs w:val="18"/>
          <w:lang w:val="nl-NL"/>
        </w:rPr>
        <w:tab/>
        <w:t>De waarde(n) van weten: Strategische Agenda Hoger Onderwijs en Onderzoek 2015-2025</w:t>
      </w:r>
    </w:p>
  </w:footnote>
  <w:footnote w:id="8">
    <w:p w14:paraId="0904754B" w14:textId="77777777" w:rsidR="00E335F1" w:rsidRDefault="00E335F1" w:rsidP="00E335F1">
      <w:pPr>
        <w:pStyle w:val="Sprotnaopomba-besedilo"/>
        <w:ind w:left="720" w:hanging="720"/>
        <w:rPr>
          <w:rFonts w:ascii="Times New Roman" w:hAnsi="Times New Roman" w:cs="Times New Roman"/>
          <w:sz w:val="18"/>
          <w:szCs w:val="18"/>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Joint Research Centre (2016b)</w:t>
      </w:r>
    </w:p>
  </w:footnote>
  <w:footnote w:id="9">
    <w:p w14:paraId="0B147758" w14:textId="77777777" w:rsidR="00E335F1" w:rsidRDefault="00E335F1" w:rsidP="00E335F1">
      <w:pPr>
        <w:pStyle w:val="Sprotnaopomba-besedilo"/>
        <w:rPr>
          <w:rFonts w:ascii="Times New Roman" w:hAnsi="Times New Roman" w:cs="Times New Roman"/>
          <w:sz w:val="18"/>
          <w:szCs w:val="18"/>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Sursock, A. (2015)</w:t>
      </w:r>
    </w:p>
  </w:footnote>
  <w:footnote w:id="10">
    <w:p w14:paraId="2B332E2E" w14:textId="77777777" w:rsidR="00E335F1" w:rsidRDefault="00E335F1" w:rsidP="00E335F1">
      <w:pPr>
        <w:pStyle w:val="Sprotnaopomba-besedilo"/>
        <w:rPr>
          <w:rFonts w:ascii="Times New Roman" w:hAnsi="Times New Roman" w:cs="Times New Roman"/>
          <w:sz w:val="18"/>
          <w:szCs w:val="18"/>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European Commission (2016a)</w:t>
      </w:r>
    </w:p>
  </w:footnote>
  <w:footnote w:id="11">
    <w:p w14:paraId="657F71ED" w14:textId="77777777" w:rsidR="00E335F1" w:rsidRDefault="00E335F1" w:rsidP="00E335F1">
      <w:pPr>
        <w:pStyle w:val="Sprotnaopomba-besedilo"/>
        <w:rPr>
          <w:rFonts w:ascii="Times New Roman" w:hAnsi="Times New Roman" w:cs="Times New Roman"/>
          <w:sz w:val="18"/>
          <w:szCs w:val="18"/>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Fung, D et al (2017), Heywood, J; et al (2015)</w:t>
      </w:r>
    </w:p>
  </w:footnote>
  <w:footnote w:id="12">
    <w:p w14:paraId="65427B6B" w14:textId="77777777" w:rsidR="00E335F1" w:rsidRDefault="00E335F1" w:rsidP="00E335F1">
      <w:pPr>
        <w:pStyle w:val="Sprotnaopomba-besedilo"/>
        <w:rPr>
          <w:rFonts w:ascii="Times New Roman" w:hAnsi="Times New Roman" w:cs="Times New Roman"/>
          <w:sz w:val="18"/>
          <w:szCs w:val="18"/>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Heywood, J; et al (2015)</w:t>
      </w:r>
    </w:p>
  </w:footnote>
  <w:footnote w:id="13">
    <w:p w14:paraId="4285AE68" w14:textId="77777777" w:rsidR="00E335F1" w:rsidRDefault="00E335F1" w:rsidP="00E335F1">
      <w:pPr>
        <w:pStyle w:val="Sprotnaopomba-besedilo"/>
        <w:rPr>
          <w:rFonts w:ascii="Times New Roman" w:hAnsi="Times New Roman" w:cs="Times New Roman"/>
          <w:sz w:val="18"/>
          <w:szCs w:val="18"/>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New York Times je leto 2012 izjavilo za leto MOOCov</w:t>
      </w:r>
    </w:p>
  </w:footnote>
  <w:footnote w:id="14">
    <w:p w14:paraId="1D80B342" w14:textId="77777777" w:rsidR="00E335F1" w:rsidRDefault="00E335F1" w:rsidP="00E335F1">
      <w:pPr>
        <w:pStyle w:val="Sprotnaopomba-besedilo"/>
        <w:rPr>
          <w:rFonts w:ascii="Times New Roman" w:hAnsi="Times New Roman" w:cs="Times New Roman"/>
          <w:sz w:val="18"/>
          <w:szCs w:val="18"/>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The Economist (2017) Learning and earning: Special Report, 12. januar 2017</w:t>
      </w:r>
    </w:p>
  </w:footnote>
  <w:footnote w:id="15">
    <w:p w14:paraId="6D69BEE5" w14:textId="77777777" w:rsidR="00E335F1" w:rsidRDefault="00E335F1" w:rsidP="00E335F1">
      <w:pPr>
        <w:pStyle w:val="Sprotnaopomba-besedilo"/>
        <w:ind w:left="720" w:hanging="720"/>
        <w:rPr>
          <w:rFonts w:ascii="Times New Roman" w:hAnsi="Times New Roman" w:cs="Times New Roman"/>
          <w:sz w:val="18"/>
          <w:szCs w:val="18"/>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Joint Research Centre (2016c)</w:t>
      </w:r>
    </w:p>
  </w:footnote>
  <w:footnote w:id="16">
    <w:p w14:paraId="0CCD41D1" w14:textId="77777777" w:rsidR="00E335F1" w:rsidRDefault="00E335F1" w:rsidP="00E335F1">
      <w:pPr>
        <w:pStyle w:val="Sprotnaopomba-besedilo"/>
        <w:ind w:left="720" w:hanging="720"/>
        <w:rPr>
          <w:rFonts w:ascii="Times New Roman" w:hAnsi="Times New Roman" w:cs="Times New Roman"/>
          <w:sz w:val="18"/>
          <w:szCs w:val="18"/>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Joint Research Centre (2016a)</w:t>
      </w:r>
    </w:p>
  </w:footnote>
  <w:footnote w:id="17">
    <w:p w14:paraId="3962B4AF" w14:textId="77777777" w:rsidR="00E335F1" w:rsidRDefault="00E335F1" w:rsidP="00E335F1">
      <w:pPr>
        <w:pStyle w:val="Sprotnaopomba-besedilo"/>
        <w:rPr>
          <w:rFonts w:ascii="Times New Roman" w:hAnsi="Times New Roman" w:cs="Times New Roman"/>
          <w:sz w:val="18"/>
          <w:szCs w:val="18"/>
        </w:rPr>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High Level Group on the Modernisation of Higher Education (Visoka skupina za modernizacijo visokega šolstva) (2013)</w:t>
      </w:r>
    </w:p>
  </w:footnote>
  <w:footnote w:id="18">
    <w:p w14:paraId="1ABA7B89" w14:textId="77777777" w:rsidR="00E335F1" w:rsidRDefault="00E335F1" w:rsidP="00E335F1">
      <w:pPr>
        <w:pStyle w:val="Sprotnaopomba-besedilo"/>
      </w:pPr>
      <w:r>
        <w:rPr>
          <w:rStyle w:val="Sprotnaopomba-sklic"/>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r>
      <w:hyperlink r:id="rId1" w:history="1">
        <w:r w:rsidR="00F66041" w:rsidRPr="00BD7502">
          <w:rPr>
            <w:rStyle w:val="Hiperpovezava"/>
            <w:rFonts w:ascii="Times New Roman" w:hAnsi="Times New Roman" w:cs="Times New Roman"/>
            <w:sz w:val="18"/>
            <w:szCs w:val="18"/>
          </w:rPr>
          <w:t>http://www.eua.be/activities-services/projects/current-projects/higher-education-policy/effect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91191"/>
    <w:multiLevelType w:val="hybridMultilevel"/>
    <w:tmpl w:val="2A2A0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A974EC"/>
    <w:multiLevelType w:val="hybridMultilevel"/>
    <w:tmpl w:val="AA4CA400"/>
    <w:styleLink w:val="ImportedStyle1"/>
    <w:lvl w:ilvl="0" w:tplc="01BC0A5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27628">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00E952">
      <w:start w:val="1"/>
      <w:numFmt w:val="lowerRoman"/>
      <w:suff w:val="nothing"/>
      <w:lvlText w:val="%3."/>
      <w:lvlJc w:val="left"/>
      <w:pPr>
        <w:ind w:left="910"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AECFA">
      <w:start w:val="1"/>
      <w:numFmt w:val="decimal"/>
      <w:lvlText w:val="%4."/>
      <w:lvlJc w:val="left"/>
      <w:pPr>
        <w:ind w:left="163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4431E2">
      <w:start w:val="1"/>
      <w:numFmt w:val="lowerLetter"/>
      <w:lvlText w:val="%5."/>
      <w:lvlJc w:val="left"/>
      <w:pPr>
        <w:ind w:left="235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0B9EE">
      <w:start w:val="1"/>
      <w:numFmt w:val="lowerRoman"/>
      <w:suff w:val="nothing"/>
      <w:lvlText w:val="%6."/>
      <w:lvlJc w:val="left"/>
      <w:pPr>
        <w:ind w:left="3070"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D68B32">
      <w:start w:val="1"/>
      <w:numFmt w:val="decimal"/>
      <w:lvlText w:val="%7."/>
      <w:lvlJc w:val="left"/>
      <w:pPr>
        <w:ind w:left="379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DC67C8">
      <w:start w:val="1"/>
      <w:numFmt w:val="lowerLetter"/>
      <w:lvlText w:val="%8."/>
      <w:lvlJc w:val="left"/>
      <w:pPr>
        <w:ind w:left="451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7C9D90">
      <w:start w:val="1"/>
      <w:numFmt w:val="lowerRoman"/>
      <w:suff w:val="nothing"/>
      <w:lvlText w:val="%9."/>
      <w:lvlJc w:val="left"/>
      <w:pPr>
        <w:ind w:left="5230"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BB363E9"/>
    <w:multiLevelType w:val="hybridMultilevel"/>
    <w:tmpl w:val="AA4CA400"/>
    <w:numStyleLink w:val="ImportedStyle1"/>
  </w:abstractNum>
  <w:num w:numId="1">
    <w:abstractNumId w:val="1"/>
  </w:num>
  <w:num w:numId="2">
    <w:abstractNumId w:val="2"/>
    <w:lvlOverride w:ilvl="0">
      <w:lvl w:ilvl="0" w:tplc="92B83ED4">
        <w:start w:val="1"/>
        <w:numFmt w:val="decimal"/>
        <w:lvlText w:val="%1."/>
        <w:lvlJc w:val="left"/>
        <w:pPr>
          <w:ind w:left="720" w:hanging="720"/>
        </w:pPr>
        <w:rPr>
          <w:rFonts w:ascii="Times New Roman" w:hAnsi="Times New Roman" w:cs="Times New Roman" w:hint="default"/>
          <w:b w:val="0"/>
          <w:i w:val="0"/>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GB" w:vendorID="64" w:dllVersion="6" w:nlCheck="1" w:checkStyle="1"/>
  <w:activeWritingStyle w:appName="MSWord" w:lang="en-GB" w:vendorID="64" w:dllVersion="0" w:nlCheck="1" w:checkStyle="0"/>
  <w:activeWritingStyle w:appName="MSWord" w:lang="de-AT" w:vendorID="64" w:dllVersion="0" w:nlCheck="1" w:checkStyle="0"/>
  <w:activeWritingStyle w:appName="MSWord" w:lang="en-GB" w:vendorID="64" w:dllVersion="4096" w:nlCheck="1" w:checkStyle="0"/>
  <w:activeWritingStyle w:appName="MSWord" w:lang="nl-NL" w:vendorID="64" w:dllVersion="4096" w:nlCheck="1" w:checkStyle="0"/>
  <w:activeWritingStyle w:appName="MSWord" w:lang="de-AT" w:vendorID="64" w:dllVersion="4096"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F1"/>
    <w:rsid w:val="00002981"/>
    <w:rsid w:val="000D28C8"/>
    <w:rsid w:val="00131E9C"/>
    <w:rsid w:val="001B7CA7"/>
    <w:rsid w:val="00294006"/>
    <w:rsid w:val="002D2B48"/>
    <w:rsid w:val="0032030B"/>
    <w:rsid w:val="00357DDF"/>
    <w:rsid w:val="00457C59"/>
    <w:rsid w:val="00525FCB"/>
    <w:rsid w:val="00543E5B"/>
    <w:rsid w:val="0067466B"/>
    <w:rsid w:val="006952D3"/>
    <w:rsid w:val="0072510E"/>
    <w:rsid w:val="00761FA1"/>
    <w:rsid w:val="007C0D42"/>
    <w:rsid w:val="008358D0"/>
    <w:rsid w:val="0085093B"/>
    <w:rsid w:val="00963882"/>
    <w:rsid w:val="00997CFA"/>
    <w:rsid w:val="009C2A95"/>
    <w:rsid w:val="009D7218"/>
    <w:rsid w:val="00A02FF8"/>
    <w:rsid w:val="00AF5563"/>
    <w:rsid w:val="00BF1630"/>
    <w:rsid w:val="00C32773"/>
    <w:rsid w:val="00CA22C7"/>
    <w:rsid w:val="00CC1617"/>
    <w:rsid w:val="00CE6C58"/>
    <w:rsid w:val="00D47964"/>
    <w:rsid w:val="00DA6F5B"/>
    <w:rsid w:val="00DC42B2"/>
    <w:rsid w:val="00E335F1"/>
    <w:rsid w:val="00E516F3"/>
    <w:rsid w:val="00F365B4"/>
    <w:rsid w:val="00F660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6812"/>
  <w15:chartTrackingRefBased/>
  <w15:docId w15:val="{67420583-6FA1-45BB-9D7D-6CD16D78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35F1"/>
    <w:pPr>
      <w:spacing w:after="200" w:line="276" w:lineRule="auto"/>
    </w:pPr>
    <w:rPr>
      <w:lang w:val="en-GB"/>
    </w:rPr>
  </w:style>
  <w:style w:type="paragraph" w:styleId="Naslov3">
    <w:name w:val="heading 3"/>
    <w:basedOn w:val="Navaden"/>
    <w:next w:val="Navaden"/>
    <w:link w:val="Naslov3Znak"/>
    <w:uiPriority w:val="9"/>
    <w:unhideWhenUsed/>
    <w:qFormat/>
    <w:rsid w:val="00E335F1"/>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E335F1"/>
    <w:rPr>
      <w:rFonts w:asciiTheme="majorHAnsi" w:eastAsiaTheme="majorEastAsia" w:hAnsiTheme="majorHAnsi" w:cstheme="majorBidi"/>
      <w:b/>
      <w:bCs/>
      <w:color w:val="5B9BD5" w:themeColor="accent1"/>
      <w:lang w:val="en-GB"/>
    </w:rPr>
  </w:style>
  <w:style w:type="paragraph" w:styleId="Odstavekseznama">
    <w:name w:val="List Paragraph"/>
    <w:basedOn w:val="Navaden"/>
    <w:qFormat/>
    <w:rsid w:val="00E335F1"/>
    <w:pPr>
      <w:ind w:left="720"/>
      <w:contextualSpacing/>
    </w:pPr>
  </w:style>
  <w:style w:type="paragraph" w:styleId="Sprotnaopomba-besedilo">
    <w:name w:val="footnote text"/>
    <w:aliases w:val="GM_Fußnotentext,ALTS FOOTNOTE,Footnote Text Char Char Char,Footnote Text Char1 Char Char,Footnote Text Char1 Char Char Char,Footnote Text Char13 Char Char,Footnote Text12,Fußnote,ft,f,stile 1,Footnote1,Footnote2,Footnote3"/>
    <w:basedOn w:val="Navaden"/>
    <w:link w:val="Sprotnaopomba-besediloZnak"/>
    <w:unhideWhenUsed/>
    <w:qFormat/>
    <w:rsid w:val="00E335F1"/>
    <w:pPr>
      <w:spacing w:after="0" w:line="240" w:lineRule="auto"/>
    </w:pPr>
    <w:rPr>
      <w:sz w:val="20"/>
      <w:szCs w:val="20"/>
    </w:rPr>
  </w:style>
  <w:style w:type="character" w:customStyle="1" w:styleId="Sprotnaopomba-besediloZnak">
    <w:name w:val="Sprotna opomba - besedilo Znak"/>
    <w:aliases w:val="GM_Fußnotentext Znak,ALTS FOOTNOTE Znak,Footnote Text Char Char Char Znak,Footnote Text Char1 Char Char Znak,Footnote Text Char1 Char Char Char Znak,Footnote Text Char13 Char Char Znak,Footnote Text12 Znak,Fußnote Znak"/>
    <w:basedOn w:val="Privzetapisavaodstavka"/>
    <w:link w:val="Sprotnaopomba-besedilo"/>
    <w:rsid w:val="00E335F1"/>
    <w:rPr>
      <w:sz w:val="20"/>
      <w:szCs w:val="20"/>
      <w:lang w:val="en-GB"/>
    </w:rPr>
  </w:style>
  <w:style w:type="character" w:styleId="Sprotnaopomba-sklic">
    <w:name w:val="footnote reference"/>
    <w:aliases w:val="Footnote symbol,Footnote Reference Superscript,BVI fnr,Footnote symboFußnotenzeichen,Footnote sign,EN Footnote Reference,Times 10 Point,Exposant 3 Point,Footnote reference number,note TESI,fr,o,Style 6,Nota,-E Fußnotenzeichen"/>
    <w:basedOn w:val="Privzetapisavaodstavka"/>
    <w:link w:val="FootnotesymbolCarZchn"/>
    <w:unhideWhenUsed/>
    <w:qFormat/>
    <w:rsid w:val="00E335F1"/>
    <w:rPr>
      <w:vertAlign w:val="superscript"/>
    </w:rPr>
  </w:style>
  <w:style w:type="numbering" w:customStyle="1" w:styleId="ImportedStyle1">
    <w:name w:val="Imported Style 1"/>
    <w:rsid w:val="00E335F1"/>
    <w:pPr>
      <w:numPr>
        <w:numId w:val="1"/>
      </w:numPr>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E335F1"/>
    <w:pPr>
      <w:spacing w:before="60" w:after="160" w:line="240" w:lineRule="exact"/>
      <w:ind w:left="357" w:hanging="357"/>
      <w:jc w:val="both"/>
    </w:pPr>
    <w:rPr>
      <w:vertAlign w:val="superscript"/>
      <w:lang w:val="sl-SI"/>
    </w:rPr>
  </w:style>
  <w:style w:type="character" w:styleId="Hiperpovezava">
    <w:name w:val="Hyperlink"/>
    <w:basedOn w:val="Privzetapisavaodstavka"/>
    <w:uiPriority w:val="99"/>
    <w:unhideWhenUsed/>
    <w:rsid w:val="00E33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ua.be/activities-services/projects/current-projects/higher-education-policy/effec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K67AKCNZ6W6Y-533-905</_dlc_DocId>
    <_dlc_DocIdUrl xmlns="c414fd7f-21c6-4d94-90e3-68400e5795fc">
      <Url>https://www.um.si/mednarodno-sodelovanje/erasmusplus/_layouts/15/DocIdRedir.aspx?ID=K67AKCNZ6W6Y-533-905</Url>
      <Description>K67AKCNZ6W6Y-533-905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d764a62df3fe4e5513676a4707cb5fb9">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06d29af937dfd19caf28f07850686e8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8BECC-869E-466F-85CF-5759A50E3B74}">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F604C01A-0DAF-495D-BDC0-347C71C69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40B73-0DFD-43B3-A5B6-F4B47B740018}">
  <ds:schemaRefs>
    <ds:schemaRef ds:uri="http://schemas.microsoft.com/sharepoint/events"/>
  </ds:schemaRefs>
</ds:datastoreItem>
</file>

<file path=customXml/itemProps4.xml><?xml version="1.0" encoding="utf-8"?>
<ds:datastoreItem xmlns:ds="http://schemas.openxmlformats.org/officeDocument/2006/customXml" ds:itemID="{2453DC55-2000-421F-856D-B4D1B82A5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7140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Sosič</dc:creator>
  <cp:keywords/>
  <dc:description/>
  <cp:lastModifiedBy>Alenka Marušič</cp:lastModifiedBy>
  <cp:revision>2</cp:revision>
  <dcterms:created xsi:type="dcterms:W3CDTF">2021-05-18T16:41:00Z</dcterms:created>
  <dcterms:modified xsi:type="dcterms:W3CDTF">2021-05-18T16:41:00Z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0x0101004A1995C48F6F37439FF13B13BCF24477</vt:lpwstr>
  </property>
  <property fmtid="{D5CDD505-2E9C-101B-9397-08002B2CF9AE}" pid="3" name="_dlc_DocIdItemGuid">
    <vt:lpwstr>b55ba906-e114-4d8d-889f-824b5699304f</vt:lpwstr>
  </property>
</Properties>
</file>